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3D734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rPr>
          <w:rFonts w:hint="eastAsia" w:ascii="Microsoft YaHei UI" w:hAnsi="Microsoft YaHei UI" w:eastAsia="Microsoft YaHei UI" w:cs="Microsoft YaHei UI"/>
          <w:i w:val="0"/>
          <w:iCs w:val="0"/>
          <w:caps w:val="0"/>
          <w:spacing w:val="8"/>
          <w:sz w:val="33"/>
          <w:szCs w:val="33"/>
          <w:shd w:val="clear" w:fill="FFFFFF"/>
        </w:rPr>
      </w:pPr>
      <w:r>
        <w:rPr>
          <w:rFonts w:hint="eastAsia" w:ascii="Microsoft YaHei UI" w:hAnsi="Microsoft YaHei UI" w:eastAsia="Microsoft YaHei UI" w:cs="Microsoft YaHei UI"/>
          <w:i w:val="0"/>
          <w:iCs w:val="0"/>
          <w:caps w:val="0"/>
          <w:spacing w:val="8"/>
          <w:sz w:val="33"/>
          <w:szCs w:val="33"/>
          <w:shd w:val="clear" w:fill="FFFFFF"/>
          <w:lang w:eastAsia="zh-CN"/>
        </w:rPr>
        <w:t>汕头市</w:t>
      </w:r>
      <w:r>
        <w:rPr>
          <w:rFonts w:hint="eastAsia" w:ascii="Microsoft YaHei UI" w:hAnsi="Microsoft YaHei UI" w:eastAsia="Microsoft YaHei UI" w:cs="Microsoft YaHei UI"/>
          <w:i w:val="0"/>
          <w:iCs w:val="0"/>
          <w:caps w:val="0"/>
          <w:spacing w:val="8"/>
          <w:sz w:val="33"/>
          <w:szCs w:val="33"/>
          <w:shd w:val="clear" w:fill="FFFFFF"/>
        </w:rPr>
        <w:t>知识产权保护中心备案主体分级分类管理办法（</w:t>
      </w:r>
      <w:r>
        <w:rPr>
          <w:rFonts w:hint="eastAsia" w:ascii="Microsoft YaHei UI" w:hAnsi="Microsoft YaHei UI" w:eastAsia="Microsoft YaHei UI" w:cs="Microsoft YaHei UI"/>
          <w:i w:val="0"/>
          <w:iCs w:val="0"/>
          <w:caps w:val="0"/>
          <w:spacing w:val="8"/>
          <w:sz w:val="33"/>
          <w:szCs w:val="33"/>
          <w:shd w:val="clear" w:fill="FFFFFF"/>
          <w:lang w:eastAsia="zh-CN"/>
        </w:rPr>
        <w:t>征求意见稿</w:t>
      </w:r>
      <w:r>
        <w:rPr>
          <w:rFonts w:hint="eastAsia" w:ascii="Microsoft YaHei UI" w:hAnsi="Microsoft YaHei UI" w:eastAsia="Microsoft YaHei UI" w:cs="Microsoft YaHei UI"/>
          <w:i w:val="0"/>
          <w:iCs w:val="0"/>
          <w:caps w:val="0"/>
          <w:spacing w:val="8"/>
          <w:sz w:val="33"/>
          <w:szCs w:val="33"/>
          <w:shd w:val="clear" w:fill="FFFFFF"/>
        </w:rPr>
        <w:t>）</w:t>
      </w:r>
    </w:p>
    <w:p w14:paraId="7FA7FA03">
      <w:pPr>
        <w:keepNext w:val="0"/>
        <w:keepLines w:val="0"/>
        <w:widowControl/>
        <w:numPr>
          <w:ilvl w:val="0"/>
          <w:numId w:val="0"/>
        </w:numPr>
        <w:suppressLineNumbers w:val="0"/>
        <w:ind w:leftChars="0"/>
        <w:jc w:val="center"/>
        <w:rPr>
          <w:rFonts w:hint="eastAsia" w:ascii="黑体" w:hAnsi="宋体" w:eastAsia="黑体" w:cs="黑体"/>
          <w:color w:val="000000"/>
          <w:kern w:val="0"/>
          <w:sz w:val="27"/>
          <w:szCs w:val="27"/>
          <w:lang w:val="en-US" w:eastAsia="zh-CN" w:bidi="ar"/>
        </w:rPr>
      </w:pPr>
      <w:r>
        <w:rPr>
          <w:rFonts w:hint="eastAsia" w:ascii="黑体" w:hAnsi="宋体" w:eastAsia="黑体" w:cs="黑体"/>
          <w:color w:val="000000"/>
          <w:kern w:val="0"/>
          <w:sz w:val="27"/>
          <w:szCs w:val="27"/>
          <w:lang w:val="en-US" w:eastAsia="zh-CN" w:bidi="ar"/>
        </w:rPr>
        <w:t>第一章 总则</w:t>
      </w:r>
    </w:p>
    <w:p w14:paraId="6576D3B3"/>
    <w:p w14:paraId="400A377E">
      <w:pPr>
        <w:keepNext w:val="0"/>
        <w:keepLines w:val="0"/>
        <w:widowControl/>
        <w:suppressLineNumbers w:val="0"/>
        <w:jc w:val="left"/>
        <w:rPr>
          <w:rFonts w:hint="eastAsia" w:ascii="仿宋_GB2312" w:hAnsi="宋体" w:eastAsia="仿宋_GB2312" w:cs="仿宋_GB2312"/>
          <w:spacing w:val="7"/>
          <w:kern w:val="0"/>
          <w:sz w:val="27"/>
          <w:szCs w:val="27"/>
          <w:lang w:val="en-US" w:eastAsia="zh-CN" w:bidi="ar"/>
        </w:rPr>
      </w:pPr>
      <w:r>
        <w:rPr>
          <w:rFonts w:hint="eastAsia" w:ascii="仿宋_GB2312" w:hAnsi="宋体" w:eastAsia="仿宋_GB2312" w:cs="仿宋_GB2312"/>
          <w:color w:val="000000"/>
          <w:kern w:val="0"/>
          <w:sz w:val="27"/>
          <w:szCs w:val="27"/>
          <w:lang w:val="en-US" w:eastAsia="zh-CN" w:bidi="ar"/>
        </w:rPr>
        <w:t>  </w:t>
      </w:r>
      <w:r>
        <w:rPr>
          <w:rStyle w:val="6"/>
          <w:rFonts w:hint="eastAsia" w:ascii="仿宋_GB2312" w:hAnsi="宋体" w:eastAsia="仿宋_GB2312" w:cs="仿宋_GB2312"/>
          <w:color w:val="000000"/>
          <w:spacing w:val="7"/>
          <w:kern w:val="0"/>
          <w:sz w:val="27"/>
          <w:szCs w:val="27"/>
          <w:lang w:val="en-US" w:eastAsia="zh-CN" w:bidi="ar"/>
        </w:rPr>
        <w:t xml:space="preserve">第一条 </w:t>
      </w:r>
      <w:r>
        <w:rPr>
          <w:rFonts w:hint="eastAsia" w:ascii="仿宋_GB2312" w:hAnsi="宋体" w:eastAsia="仿宋_GB2312" w:cs="仿宋_GB2312"/>
          <w:color w:val="000000"/>
          <w:kern w:val="0"/>
          <w:sz w:val="27"/>
          <w:szCs w:val="27"/>
          <w:lang w:val="en-US" w:eastAsia="zh-CN" w:bidi="ar"/>
        </w:rPr>
        <w:t>为进一步推进知识产权领域以信用为基础的分级分类管理工作，加强对专利快速预审备案主体的评价与管理，根据《规范申请专利行为的规定》（国家知识产权局公告第</w:t>
      </w:r>
      <w:r>
        <w:rPr>
          <w:rFonts w:hint="default" w:ascii="仿宋_GB2312" w:hAnsi="宋体" w:eastAsia="仿宋_GB2312" w:cs="仿宋_GB2312"/>
          <w:color w:val="000000"/>
          <w:kern w:val="0"/>
          <w:sz w:val="27"/>
          <w:szCs w:val="27"/>
          <w:lang w:val="en-US" w:eastAsia="zh-CN" w:bidi="ar"/>
        </w:rPr>
        <w:t>77</w:t>
      </w:r>
      <w:r>
        <w:rPr>
          <w:rFonts w:hint="eastAsia" w:ascii="仿宋_GB2312" w:hAnsi="宋体" w:eastAsia="仿宋_GB2312" w:cs="仿宋_GB2312"/>
          <w:color w:val="000000"/>
          <w:kern w:val="0"/>
          <w:sz w:val="27"/>
          <w:szCs w:val="27"/>
          <w:lang w:val="en-US" w:eastAsia="zh-CN" w:bidi="ar"/>
        </w:rPr>
        <w:t>号）、《国家知识产权局知识产权信用管理规定》（国知发保字〔</w:t>
      </w:r>
      <w:r>
        <w:rPr>
          <w:rFonts w:hint="default" w:ascii="仿宋_GB2312" w:hAnsi="宋体" w:eastAsia="仿宋_GB2312" w:cs="仿宋_GB2312"/>
          <w:color w:val="000000"/>
          <w:kern w:val="0"/>
          <w:sz w:val="27"/>
          <w:szCs w:val="27"/>
          <w:lang w:val="en-US" w:eastAsia="zh-CN" w:bidi="ar"/>
        </w:rPr>
        <w:t>2022</w:t>
      </w:r>
      <w:r>
        <w:rPr>
          <w:rFonts w:hint="eastAsia" w:ascii="仿宋_GB2312" w:hAnsi="宋体" w:eastAsia="仿宋_GB2312" w:cs="仿宋_GB2312"/>
          <w:color w:val="000000"/>
          <w:kern w:val="0"/>
          <w:sz w:val="27"/>
          <w:szCs w:val="27"/>
          <w:lang w:val="en-US" w:eastAsia="zh-CN" w:bidi="ar"/>
        </w:rPr>
        <w:t>〕</w:t>
      </w:r>
      <w:r>
        <w:rPr>
          <w:rFonts w:hint="default" w:ascii="仿宋_GB2312" w:hAnsi="宋体" w:eastAsia="仿宋_GB2312" w:cs="仿宋_GB2312"/>
          <w:color w:val="000000"/>
          <w:kern w:val="0"/>
          <w:sz w:val="27"/>
          <w:szCs w:val="27"/>
          <w:lang w:val="en-US" w:eastAsia="zh-CN" w:bidi="ar"/>
        </w:rPr>
        <w:t>8</w:t>
      </w:r>
      <w:r>
        <w:rPr>
          <w:rFonts w:hint="eastAsia" w:ascii="仿宋_GB2312" w:hAnsi="宋体" w:eastAsia="仿宋_GB2312" w:cs="仿宋_GB2312"/>
          <w:color w:val="000000"/>
          <w:kern w:val="0"/>
          <w:sz w:val="27"/>
          <w:szCs w:val="27"/>
          <w:lang w:val="en-US" w:eastAsia="zh-CN" w:bidi="ar"/>
        </w:rPr>
        <w:t>号）及《专利申请预审业务管理办法》(国知办发办字〔2023〕25号)等相关要求，结合工作实际，制定本办法。</w:t>
      </w:r>
    </w:p>
    <w:p w14:paraId="613A385A">
      <w:pPr>
        <w:keepNext w:val="0"/>
        <w:keepLines w:val="0"/>
        <w:widowControl/>
        <w:suppressLineNumbers w:val="0"/>
        <w:ind w:firstLine="570" w:firstLineChars="200"/>
        <w:jc w:val="left"/>
        <w:rPr>
          <w:rFonts w:hint="eastAsia" w:ascii="仿宋_GB2312" w:hAnsi="宋体" w:eastAsia="仿宋_GB2312" w:cs="仿宋_GB2312"/>
          <w:color w:val="000000"/>
          <w:spacing w:val="7"/>
          <w:kern w:val="0"/>
          <w:sz w:val="27"/>
          <w:szCs w:val="27"/>
          <w:lang w:val="en-US" w:eastAsia="zh-CN" w:bidi="ar"/>
        </w:rPr>
      </w:pPr>
      <w:r>
        <w:rPr>
          <w:rStyle w:val="6"/>
          <w:rFonts w:hint="eastAsia" w:ascii="仿宋_GB2312" w:hAnsi="宋体" w:eastAsia="仿宋_GB2312" w:cs="仿宋_GB2312"/>
          <w:color w:val="000000"/>
          <w:spacing w:val="7"/>
          <w:kern w:val="0"/>
          <w:sz w:val="27"/>
          <w:szCs w:val="27"/>
          <w:lang w:val="en-US" w:eastAsia="zh-CN" w:bidi="ar"/>
        </w:rPr>
        <w:t>第二条</w:t>
      </w:r>
      <w:r>
        <w:rPr>
          <w:rFonts w:hint="eastAsia" w:ascii="仿宋_GB2312" w:hAnsi="宋体" w:eastAsia="仿宋_GB2312" w:cs="仿宋_GB2312"/>
          <w:color w:val="000000"/>
          <w:spacing w:val="7"/>
          <w:kern w:val="0"/>
          <w:sz w:val="27"/>
          <w:szCs w:val="27"/>
          <w:lang w:val="en-US" w:eastAsia="zh-CN" w:bidi="ar"/>
        </w:rPr>
        <w:t xml:space="preserve"> 本办法适用于</w:t>
      </w:r>
      <w:r>
        <w:rPr>
          <w:rFonts w:hint="eastAsia" w:ascii="仿宋_GB2312" w:hAnsi="宋体" w:eastAsia="仿宋_GB2312" w:cs="仿宋_GB2312"/>
          <w:spacing w:val="7"/>
          <w:kern w:val="0"/>
          <w:sz w:val="27"/>
          <w:szCs w:val="27"/>
          <w:lang w:val="en-US" w:eastAsia="zh-CN" w:bidi="ar"/>
        </w:rPr>
        <w:t>汕头市</w:t>
      </w:r>
      <w:r>
        <w:rPr>
          <w:rFonts w:hint="eastAsia" w:ascii="仿宋_GB2312" w:hAnsi="宋体" w:eastAsia="仿宋_GB2312" w:cs="仿宋_GB2312"/>
          <w:color w:val="000000"/>
          <w:spacing w:val="7"/>
          <w:kern w:val="0"/>
          <w:sz w:val="27"/>
          <w:szCs w:val="27"/>
          <w:lang w:val="en-US" w:eastAsia="zh-CN" w:bidi="ar"/>
        </w:rPr>
        <w:t>知识产权保护中心（以下简称“汕头保护中心”）的备案主体。</w:t>
      </w:r>
    </w:p>
    <w:p w14:paraId="72A219AE">
      <w:pPr>
        <w:keepNext w:val="0"/>
        <w:keepLines w:val="0"/>
        <w:widowControl/>
        <w:suppressLineNumbers w:val="0"/>
        <w:ind w:firstLine="568" w:firstLineChars="200"/>
        <w:jc w:val="left"/>
        <w:rPr>
          <w:rFonts w:hint="eastAsia" w:ascii="仿宋_GB2312" w:hAnsi="宋体" w:eastAsia="仿宋_GB2312" w:cs="仿宋_GB2312"/>
          <w:color w:val="000000"/>
          <w:spacing w:val="7"/>
          <w:kern w:val="0"/>
          <w:sz w:val="27"/>
          <w:szCs w:val="27"/>
          <w:lang w:val="en-US" w:eastAsia="zh-CN" w:bidi="ar"/>
        </w:rPr>
      </w:pPr>
      <w:r>
        <w:rPr>
          <w:rFonts w:hint="eastAsia" w:ascii="仿宋_GB2312" w:hAnsi="宋体" w:eastAsia="仿宋_GB2312" w:cs="仿宋_GB2312"/>
          <w:color w:val="000000"/>
          <w:spacing w:val="7"/>
          <w:kern w:val="0"/>
          <w:sz w:val="27"/>
          <w:szCs w:val="27"/>
          <w:lang w:val="en-US" w:eastAsia="zh-CN" w:bidi="ar"/>
        </w:rPr>
        <w:t>所称备案主体，是指已在汕头保护中心完成备案的、具有独立法人资格的企事业单位、科研院所、高校等。</w:t>
      </w:r>
    </w:p>
    <w:p w14:paraId="06B5194D">
      <w:pPr>
        <w:keepNext w:val="0"/>
        <w:keepLines w:val="0"/>
        <w:widowControl/>
        <w:suppressLineNumbers w:val="0"/>
        <w:ind w:firstLine="542" w:firstLineChars="200"/>
        <w:jc w:val="left"/>
        <w:rPr>
          <w:rFonts w:hint="eastAsia" w:ascii="仿宋_GB2312" w:hAnsi="宋体" w:eastAsia="仿宋_GB2312" w:cs="仿宋_GB2312"/>
          <w:color w:val="000000"/>
          <w:kern w:val="0"/>
          <w:sz w:val="27"/>
          <w:szCs w:val="27"/>
          <w:lang w:val="en-US" w:eastAsia="zh-CN" w:bidi="ar"/>
        </w:rPr>
      </w:pPr>
      <w:r>
        <w:rPr>
          <w:rStyle w:val="6"/>
          <w:rFonts w:hint="eastAsia" w:ascii="仿宋_GB2312" w:hAnsi="宋体" w:eastAsia="仿宋_GB2312" w:cs="仿宋_GB2312"/>
          <w:color w:val="000000"/>
          <w:kern w:val="0"/>
          <w:sz w:val="27"/>
          <w:szCs w:val="27"/>
          <w:lang w:val="en-US" w:eastAsia="zh-CN" w:bidi="ar"/>
        </w:rPr>
        <w:t>第三条</w:t>
      </w:r>
      <w:r>
        <w:rPr>
          <w:rFonts w:hint="eastAsia" w:ascii="仿宋_GB2312" w:hAnsi="宋体" w:eastAsia="仿宋_GB2312" w:cs="仿宋_GB2312"/>
          <w:color w:val="FF0000"/>
          <w:kern w:val="0"/>
          <w:sz w:val="27"/>
          <w:szCs w:val="27"/>
          <w:lang w:val="en-US" w:eastAsia="zh-CN" w:bidi="ar"/>
        </w:rPr>
        <w:t xml:space="preserve"> </w:t>
      </w:r>
      <w:r>
        <w:rPr>
          <w:rFonts w:hint="eastAsia" w:ascii="仿宋_GB2312" w:hAnsi="宋体" w:eastAsia="仿宋_GB2312" w:cs="仿宋_GB2312"/>
          <w:color w:val="000000"/>
          <w:spacing w:val="7"/>
          <w:kern w:val="0"/>
          <w:sz w:val="27"/>
          <w:szCs w:val="27"/>
          <w:lang w:val="en-US" w:eastAsia="zh-CN" w:bidi="ar"/>
        </w:rPr>
        <w:t>本办法所述</w:t>
      </w:r>
      <w:r>
        <w:rPr>
          <w:rFonts w:hint="eastAsia" w:ascii="仿宋_GB2312" w:hAnsi="宋体" w:eastAsia="仿宋_GB2312" w:cs="仿宋_GB2312"/>
          <w:color w:val="000000"/>
          <w:kern w:val="0"/>
          <w:sz w:val="27"/>
          <w:szCs w:val="27"/>
          <w:lang w:val="en-US" w:eastAsia="zh-CN" w:bidi="ar"/>
        </w:rPr>
        <w:t>分级分类管理，是指汕头保护中心根据备案主体的诚信、创新能力、预审申请质量、成果转化运用、综合服务指标等情况，对其进行量化评价和管理。</w:t>
      </w:r>
    </w:p>
    <w:p w14:paraId="7F82D303">
      <w:pPr>
        <w:keepNext w:val="0"/>
        <w:keepLines w:val="0"/>
        <w:widowControl/>
        <w:suppressLineNumbers w:val="0"/>
        <w:ind w:firstLine="542" w:firstLineChars="200"/>
        <w:jc w:val="left"/>
        <w:rPr>
          <w:rFonts w:hint="eastAsia" w:ascii="仿宋_GB2312" w:hAnsi="宋体" w:eastAsia="仿宋_GB2312" w:cs="仿宋_GB2312"/>
          <w:color w:val="000000"/>
          <w:kern w:val="0"/>
          <w:sz w:val="27"/>
          <w:szCs w:val="27"/>
          <w:lang w:val="en-US" w:eastAsia="zh-CN" w:bidi="ar"/>
        </w:rPr>
      </w:pPr>
      <w:r>
        <w:rPr>
          <w:rStyle w:val="6"/>
          <w:rFonts w:hint="eastAsia" w:ascii="仿宋_GB2312" w:hAnsi="宋体" w:eastAsia="仿宋_GB2312" w:cs="仿宋_GB2312"/>
          <w:color w:val="000000"/>
          <w:kern w:val="0"/>
          <w:sz w:val="27"/>
          <w:szCs w:val="27"/>
          <w:lang w:val="en-US" w:eastAsia="zh-CN" w:bidi="ar"/>
        </w:rPr>
        <w:t>第四条</w:t>
      </w:r>
      <w:r>
        <w:rPr>
          <w:rFonts w:hint="eastAsia" w:ascii="仿宋_GB2312" w:hAnsi="宋体" w:eastAsia="仿宋_GB2312" w:cs="仿宋_GB2312"/>
          <w:color w:val="000000"/>
          <w:kern w:val="0"/>
          <w:sz w:val="27"/>
          <w:szCs w:val="27"/>
          <w:lang w:val="en-US" w:eastAsia="zh-CN" w:bidi="ar"/>
        </w:rPr>
        <w:t xml:space="preserve"> 备案主体分级分类管理工作应当遵循科学合理、综合评价、客观公正、守信激励、失信惩戒、动态调整的原则，分级分类结果作为配置预审服务资源、实施差异化服务的主要依据。</w:t>
      </w:r>
    </w:p>
    <w:p w14:paraId="307639D8">
      <w:pPr>
        <w:keepNext w:val="0"/>
        <w:keepLines w:val="0"/>
        <w:widowControl/>
        <w:suppressLineNumbers w:val="0"/>
        <w:ind w:firstLine="542" w:firstLineChars="200"/>
        <w:jc w:val="left"/>
        <w:rPr>
          <w:rFonts w:hint="eastAsia" w:ascii="仿宋_GB2312" w:hAnsi="宋体" w:eastAsia="仿宋_GB2312" w:cs="仿宋_GB2312"/>
          <w:color w:val="000000"/>
          <w:kern w:val="0"/>
          <w:sz w:val="27"/>
          <w:szCs w:val="27"/>
          <w:lang w:val="en-US" w:eastAsia="zh-CN" w:bidi="ar"/>
        </w:rPr>
      </w:pPr>
      <w:r>
        <w:rPr>
          <w:rStyle w:val="6"/>
          <w:rFonts w:hint="eastAsia" w:ascii="仿宋_GB2312" w:hAnsi="宋体" w:eastAsia="仿宋_GB2312" w:cs="仿宋_GB2312"/>
          <w:color w:val="000000"/>
          <w:kern w:val="0"/>
          <w:sz w:val="27"/>
          <w:szCs w:val="27"/>
          <w:lang w:val="en-US" w:eastAsia="zh-CN" w:bidi="ar"/>
        </w:rPr>
        <w:t>第五条</w:t>
      </w:r>
      <w:r>
        <w:rPr>
          <w:rFonts w:hint="eastAsia" w:ascii="仿宋_GB2312" w:hAnsi="宋体" w:eastAsia="仿宋_GB2312" w:cs="仿宋_GB2312"/>
          <w:color w:val="000000"/>
          <w:kern w:val="0"/>
          <w:sz w:val="27"/>
          <w:szCs w:val="27"/>
          <w:lang w:val="en-US" w:eastAsia="zh-CN" w:bidi="ar"/>
        </w:rPr>
        <w:t xml:space="preserve"> 备案主体应当自觉遵守汕头保护中心有关分级分类管理工作的要求，熟知预审管理各项规定，积极提交高质量、高价值专利预审申请，营造良好的知识产权创新创造氛围。</w:t>
      </w:r>
    </w:p>
    <w:p w14:paraId="683D1E66">
      <w:pPr>
        <w:keepNext w:val="0"/>
        <w:keepLines w:val="0"/>
        <w:widowControl/>
        <w:numPr>
          <w:ilvl w:val="0"/>
          <w:numId w:val="1"/>
        </w:numPr>
        <w:suppressLineNumbers w:val="0"/>
        <w:ind w:firstLine="540" w:firstLineChars="200"/>
        <w:jc w:val="center"/>
        <w:rPr>
          <w:rFonts w:hint="eastAsia" w:ascii="黑体" w:hAnsi="宋体" w:eastAsia="黑体" w:cs="黑体"/>
          <w:color w:val="000000"/>
          <w:kern w:val="0"/>
          <w:sz w:val="27"/>
          <w:szCs w:val="27"/>
          <w:lang w:val="en-US" w:eastAsia="zh-CN" w:bidi="ar"/>
        </w:rPr>
      </w:pPr>
      <w:r>
        <w:rPr>
          <w:rFonts w:hint="eastAsia" w:ascii="黑体" w:hAnsi="宋体" w:eastAsia="黑体" w:cs="黑体"/>
          <w:color w:val="000000"/>
          <w:kern w:val="0"/>
          <w:sz w:val="27"/>
          <w:szCs w:val="27"/>
          <w:lang w:val="en-US" w:eastAsia="zh-CN" w:bidi="ar"/>
        </w:rPr>
        <w:t>分级评定原则及要求</w:t>
      </w:r>
    </w:p>
    <w:p w14:paraId="4A41B3A8">
      <w:pPr>
        <w:keepNext w:val="0"/>
        <w:keepLines w:val="0"/>
        <w:widowControl/>
        <w:numPr>
          <w:ilvl w:val="0"/>
          <w:numId w:val="0"/>
        </w:numPr>
        <w:suppressLineNumbers w:val="0"/>
        <w:ind w:firstLine="542" w:firstLineChars="200"/>
        <w:jc w:val="left"/>
        <w:rPr>
          <w:rFonts w:hint="eastAsia" w:ascii="仿宋_GB2312" w:hAnsi="宋体" w:eastAsia="仿宋_GB2312" w:cs="仿宋_GB2312"/>
          <w:kern w:val="0"/>
          <w:sz w:val="27"/>
          <w:szCs w:val="27"/>
          <w:lang w:val="en-US" w:eastAsia="zh-CN" w:bidi="ar"/>
        </w:rPr>
      </w:pPr>
      <w:r>
        <w:rPr>
          <w:rStyle w:val="6"/>
          <w:rFonts w:hint="eastAsia" w:ascii="仿宋_GB2312" w:hAnsi="宋体" w:eastAsia="仿宋_GB2312" w:cs="仿宋_GB2312"/>
          <w:kern w:val="0"/>
          <w:sz w:val="27"/>
          <w:szCs w:val="27"/>
          <w:lang w:val="en-US" w:eastAsia="zh-CN" w:bidi="ar"/>
        </w:rPr>
        <w:t xml:space="preserve">第六条 </w:t>
      </w:r>
      <w:r>
        <w:rPr>
          <w:rFonts w:hint="eastAsia" w:ascii="仿宋_GB2312" w:hAnsi="宋体" w:eastAsia="仿宋_GB2312" w:cs="仿宋_GB2312"/>
          <w:kern w:val="0"/>
          <w:sz w:val="27"/>
          <w:szCs w:val="27"/>
          <w:lang w:val="en-US" w:eastAsia="zh-CN" w:bidi="ar"/>
        </w:rPr>
        <w:t>汕头保护中心细化分级评价指标，建立《汕头市专利预审备案主体分级评定表》，对备案主体进行分级评定，并根据评定结果对备案主体实施动态管理。</w:t>
      </w:r>
    </w:p>
    <w:p w14:paraId="1A5251A7">
      <w:pPr>
        <w:keepNext w:val="0"/>
        <w:keepLines w:val="0"/>
        <w:widowControl/>
        <w:numPr>
          <w:ilvl w:val="0"/>
          <w:numId w:val="0"/>
        </w:numPr>
        <w:suppressLineNumbers w:val="0"/>
        <w:ind w:firstLine="542" w:firstLineChars="200"/>
        <w:jc w:val="left"/>
        <w:rPr>
          <w:rFonts w:hint="eastAsia" w:ascii="仿宋_GB2312" w:hAnsi="宋体" w:eastAsia="仿宋_GB2312" w:cs="仿宋_GB2312"/>
          <w:kern w:val="0"/>
          <w:sz w:val="27"/>
          <w:szCs w:val="27"/>
          <w:lang w:val="en-US" w:eastAsia="zh-CN" w:bidi="ar"/>
        </w:rPr>
      </w:pPr>
      <w:r>
        <w:rPr>
          <w:rStyle w:val="6"/>
          <w:rFonts w:hint="eastAsia" w:ascii="仿宋_GB2312" w:hAnsi="宋体" w:eastAsia="仿宋_GB2312" w:cs="仿宋_GB2312"/>
          <w:kern w:val="0"/>
          <w:sz w:val="27"/>
          <w:szCs w:val="27"/>
          <w:lang w:val="en-US" w:eastAsia="zh-CN" w:bidi="ar"/>
        </w:rPr>
        <w:t xml:space="preserve">第七条 </w:t>
      </w:r>
      <w:r>
        <w:rPr>
          <w:rFonts w:hint="eastAsia" w:ascii="仿宋_GB2312" w:hAnsi="宋体" w:eastAsia="仿宋_GB2312" w:cs="仿宋_GB2312"/>
          <w:kern w:val="0"/>
          <w:sz w:val="27"/>
          <w:szCs w:val="27"/>
          <w:lang w:val="en-US" w:eastAsia="zh-CN" w:bidi="ar"/>
        </w:rPr>
        <w:t>分级评定指标由基础指标、加分指标和减分指标组成，其中，基础指标指申请主体备案情况；加分指标包括主体资质、项目承接、能力培育、荣誉奖励、高质量预审申请及信息报送情况等；减分指标包括低质量预审申请、违反规章制度情况、存在失信行为情况等。具体分级评定指标根据相关政策及预审申请质量动态调整。</w:t>
      </w:r>
    </w:p>
    <w:p w14:paraId="5E3F5A1D">
      <w:pPr>
        <w:keepNext w:val="0"/>
        <w:keepLines w:val="0"/>
        <w:widowControl/>
        <w:numPr>
          <w:ilvl w:val="0"/>
          <w:numId w:val="0"/>
        </w:numPr>
        <w:suppressLineNumbers w:val="0"/>
        <w:ind w:firstLine="542" w:firstLineChars="200"/>
        <w:jc w:val="left"/>
        <w:rPr>
          <w:rFonts w:hint="eastAsia" w:ascii="仿宋_GB2312" w:hAnsi="宋体" w:eastAsia="仿宋_GB2312" w:cs="仿宋_GB2312"/>
          <w:kern w:val="0"/>
          <w:sz w:val="27"/>
          <w:szCs w:val="27"/>
          <w:lang w:val="en-US" w:eastAsia="zh-CN" w:bidi="ar"/>
        </w:rPr>
      </w:pPr>
      <w:r>
        <w:rPr>
          <w:rStyle w:val="6"/>
          <w:rFonts w:hint="eastAsia" w:ascii="仿宋_GB2312" w:hAnsi="宋体" w:eastAsia="仿宋_GB2312" w:cs="仿宋_GB2312"/>
          <w:kern w:val="0"/>
          <w:sz w:val="27"/>
          <w:szCs w:val="27"/>
          <w:lang w:val="en-US" w:eastAsia="zh-CN" w:bidi="ar"/>
        </w:rPr>
        <w:t xml:space="preserve">第八条 </w:t>
      </w:r>
      <w:r>
        <w:rPr>
          <w:rFonts w:hint="eastAsia" w:ascii="仿宋_GB2312" w:hAnsi="宋体" w:eastAsia="仿宋_GB2312" w:cs="仿宋_GB2312"/>
          <w:kern w:val="0"/>
          <w:sz w:val="27"/>
          <w:szCs w:val="27"/>
          <w:lang w:val="en-US" w:eastAsia="zh-CN" w:bidi="ar"/>
        </w:rPr>
        <w:t>分级评定的基本信息来源包括但不限于以下渠道：（一）汕头保护中心专利预审管理平台和中国专利智能审查系统中的信息；（二）备案主体提交的佐证材料；（三）国家知识产权局或地方知识产权管理部门在行政管理过程中产生的信息；（四）其他公开信息。</w:t>
      </w:r>
    </w:p>
    <w:p w14:paraId="05422D1E">
      <w:pPr>
        <w:keepNext w:val="0"/>
        <w:keepLines w:val="0"/>
        <w:widowControl/>
        <w:numPr>
          <w:ilvl w:val="0"/>
          <w:numId w:val="0"/>
        </w:numPr>
        <w:suppressLineNumbers w:val="0"/>
        <w:ind w:firstLine="542" w:firstLineChars="200"/>
        <w:jc w:val="left"/>
        <w:rPr>
          <w:rFonts w:hint="eastAsia" w:ascii="仿宋_GB2312" w:hAnsi="宋体" w:eastAsia="仿宋_GB2312" w:cs="仿宋_GB2312"/>
          <w:kern w:val="0"/>
          <w:sz w:val="27"/>
          <w:szCs w:val="27"/>
          <w:lang w:val="en-US" w:eastAsia="zh-CN" w:bidi="ar"/>
        </w:rPr>
      </w:pPr>
      <w:r>
        <w:rPr>
          <w:rStyle w:val="6"/>
          <w:rFonts w:hint="eastAsia" w:ascii="仿宋_GB2312" w:hAnsi="宋体" w:eastAsia="仿宋_GB2312" w:cs="仿宋_GB2312"/>
          <w:kern w:val="0"/>
          <w:sz w:val="27"/>
          <w:szCs w:val="27"/>
          <w:lang w:val="en-US" w:eastAsia="zh-CN" w:bidi="ar"/>
        </w:rPr>
        <w:t>第九条</w:t>
      </w:r>
      <w:r>
        <w:rPr>
          <w:rFonts w:hint="eastAsia" w:ascii="仿宋_GB2312" w:hAnsi="宋体" w:eastAsia="仿宋_GB2312" w:cs="仿宋_GB2312"/>
          <w:kern w:val="0"/>
          <w:sz w:val="27"/>
          <w:szCs w:val="27"/>
          <w:lang w:val="en-US" w:eastAsia="zh-CN" w:bidi="ar"/>
        </w:rPr>
        <w:t xml:space="preserve"> 汕头保护中心每年第一季度开展上一年度的分级分类评定工作。备案主体应当在接到通知之日起</w:t>
      </w:r>
      <w:r>
        <w:rPr>
          <w:rFonts w:hint="default" w:ascii="Times New Roman" w:hAnsi="Times New Roman" w:eastAsia="仿宋_GB2312" w:cs="Times New Roman"/>
          <w:kern w:val="0"/>
          <w:sz w:val="27"/>
          <w:szCs w:val="27"/>
          <w:lang w:val="en-US" w:eastAsia="zh-CN" w:bidi="ar"/>
        </w:rPr>
        <w:t>15</w:t>
      </w:r>
      <w:r>
        <w:rPr>
          <w:rFonts w:hint="eastAsia" w:ascii="仿宋_GB2312" w:hAnsi="宋体" w:eastAsia="仿宋_GB2312" w:cs="仿宋_GB2312"/>
          <w:kern w:val="0"/>
          <w:sz w:val="27"/>
          <w:szCs w:val="27"/>
          <w:lang w:val="en-US" w:eastAsia="zh-CN" w:bidi="ar"/>
        </w:rPr>
        <w:t>个工作日内提交加盖公章的相关证明材料，并保证材料的真实性。对存在提供虚假材料或不配合评定工作行为的相关主体，取消评定资格并暂停预审服务</w:t>
      </w:r>
      <w:r>
        <w:rPr>
          <w:rFonts w:hint="default" w:ascii="Times New Roman" w:hAnsi="Times New Roman" w:eastAsia="仿宋_GB2312" w:cs="Times New Roman"/>
          <w:kern w:val="0"/>
          <w:sz w:val="27"/>
          <w:szCs w:val="27"/>
          <w:lang w:val="en-US" w:eastAsia="zh-CN" w:bidi="ar"/>
        </w:rPr>
        <w:t>1</w:t>
      </w:r>
      <w:r>
        <w:rPr>
          <w:rFonts w:hint="eastAsia" w:ascii="仿宋_GB2312" w:hAnsi="宋体" w:eastAsia="仿宋_GB2312" w:cs="仿宋_GB2312"/>
          <w:kern w:val="0"/>
          <w:sz w:val="27"/>
          <w:szCs w:val="27"/>
          <w:lang w:val="en-US" w:eastAsia="zh-CN" w:bidi="ar"/>
        </w:rPr>
        <w:t>年，期满后需提交书面申请方可恢复预审服务资格。</w:t>
      </w:r>
    </w:p>
    <w:p w14:paraId="22AF7E76">
      <w:pPr>
        <w:keepNext w:val="0"/>
        <w:keepLines w:val="0"/>
        <w:widowControl/>
        <w:numPr>
          <w:ilvl w:val="0"/>
          <w:numId w:val="0"/>
        </w:numPr>
        <w:suppressLineNumbers w:val="0"/>
        <w:ind w:firstLine="542" w:firstLineChars="200"/>
        <w:jc w:val="left"/>
        <w:rPr>
          <w:rFonts w:hint="eastAsia" w:ascii="仿宋_GB2312" w:hAnsi="宋体" w:eastAsia="仿宋_GB2312" w:cs="仿宋_GB2312"/>
          <w:kern w:val="0"/>
          <w:sz w:val="27"/>
          <w:szCs w:val="27"/>
          <w:lang w:val="en-US" w:eastAsia="zh-CN" w:bidi="ar"/>
        </w:rPr>
      </w:pPr>
      <w:r>
        <w:rPr>
          <w:rStyle w:val="6"/>
          <w:rFonts w:hint="eastAsia" w:ascii="仿宋_GB2312" w:hAnsi="宋体" w:eastAsia="仿宋_GB2312" w:cs="仿宋_GB2312"/>
          <w:kern w:val="0"/>
          <w:sz w:val="27"/>
          <w:szCs w:val="27"/>
          <w:lang w:val="en-US" w:eastAsia="zh-CN" w:bidi="ar"/>
        </w:rPr>
        <w:t>第十条</w:t>
      </w:r>
      <w:r>
        <w:rPr>
          <w:rFonts w:hint="eastAsia" w:ascii="仿宋_GB2312" w:hAnsi="宋体" w:eastAsia="仿宋_GB2312" w:cs="仿宋_GB2312"/>
          <w:kern w:val="0"/>
          <w:sz w:val="27"/>
          <w:szCs w:val="27"/>
          <w:lang w:val="en-US" w:eastAsia="zh-CN" w:bidi="ar"/>
        </w:rPr>
        <w:t xml:space="preserve"> 汕头保护中心依据分级评定得分结果，分别将备案主体按得分排名由高到低分为</w:t>
      </w:r>
      <w:r>
        <w:rPr>
          <w:rFonts w:hint="default" w:ascii="Times New Roman" w:hAnsi="Times New Roman" w:eastAsia="仿宋_GB2312" w:cs="Times New Roman"/>
          <w:kern w:val="0"/>
          <w:sz w:val="27"/>
          <w:szCs w:val="27"/>
          <w:lang w:val="en-US" w:eastAsia="zh-CN" w:bidi="ar"/>
        </w:rPr>
        <w:t>A</w:t>
      </w:r>
      <w:r>
        <w:rPr>
          <w:rFonts w:hint="eastAsia" w:ascii="仿宋_GB2312" w:hAnsi="宋体" w:eastAsia="仿宋_GB2312" w:cs="仿宋_GB2312"/>
          <w:kern w:val="0"/>
          <w:sz w:val="27"/>
          <w:szCs w:val="27"/>
          <w:lang w:val="en-US" w:eastAsia="zh-CN" w:bidi="ar"/>
        </w:rPr>
        <w:t>、</w:t>
      </w:r>
      <w:r>
        <w:rPr>
          <w:rFonts w:hint="default" w:ascii="Times New Roman" w:hAnsi="Times New Roman" w:eastAsia="仿宋_GB2312" w:cs="Times New Roman"/>
          <w:kern w:val="0"/>
          <w:sz w:val="27"/>
          <w:szCs w:val="27"/>
          <w:lang w:val="en-US" w:eastAsia="zh-CN" w:bidi="ar"/>
        </w:rPr>
        <w:t>B</w:t>
      </w:r>
      <w:r>
        <w:rPr>
          <w:rFonts w:hint="eastAsia" w:ascii="仿宋_GB2312" w:hAnsi="宋体" w:eastAsia="仿宋_GB2312" w:cs="仿宋_GB2312"/>
          <w:kern w:val="0"/>
          <w:sz w:val="27"/>
          <w:szCs w:val="27"/>
          <w:lang w:val="en-US" w:eastAsia="zh-CN" w:bidi="ar"/>
        </w:rPr>
        <w:t>、</w:t>
      </w:r>
      <w:r>
        <w:rPr>
          <w:rFonts w:hint="default" w:ascii="Times New Roman" w:hAnsi="Times New Roman" w:eastAsia="仿宋_GB2312" w:cs="Times New Roman"/>
          <w:kern w:val="0"/>
          <w:sz w:val="27"/>
          <w:szCs w:val="27"/>
          <w:lang w:val="en-US" w:eastAsia="zh-CN" w:bidi="ar"/>
        </w:rPr>
        <w:t>C</w:t>
      </w:r>
      <w:r>
        <w:rPr>
          <w:rFonts w:hint="eastAsia" w:ascii="仿宋_GB2312" w:hAnsi="宋体" w:eastAsia="仿宋_GB2312" w:cs="仿宋_GB2312"/>
          <w:kern w:val="0"/>
          <w:sz w:val="27"/>
          <w:szCs w:val="27"/>
          <w:lang w:val="en-US" w:eastAsia="zh-CN" w:bidi="ar"/>
        </w:rPr>
        <w:t>三个等级。原则上，备案主体得分排名前</w:t>
      </w:r>
      <w:r>
        <w:rPr>
          <w:rFonts w:hint="eastAsia" w:ascii="Times New Roman" w:hAnsi="Times New Roman" w:eastAsia="仿宋_GB2312" w:cs="Times New Roman"/>
          <w:kern w:val="0"/>
          <w:sz w:val="27"/>
          <w:szCs w:val="27"/>
          <w:lang w:val="en-US" w:eastAsia="zh-CN" w:bidi="ar"/>
        </w:rPr>
        <w:t>3</w:t>
      </w:r>
      <w:r>
        <w:rPr>
          <w:rFonts w:hint="default" w:ascii="Times New Roman" w:hAnsi="Times New Roman" w:eastAsia="仿宋_GB2312" w:cs="Times New Roman"/>
          <w:kern w:val="0"/>
          <w:sz w:val="27"/>
          <w:szCs w:val="27"/>
          <w:lang w:val="en-US" w:eastAsia="zh-CN" w:bidi="ar"/>
        </w:rPr>
        <w:t>0%</w:t>
      </w:r>
      <w:r>
        <w:rPr>
          <w:rFonts w:hint="eastAsia" w:ascii="仿宋_GB2312" w:hAnsi="宋体" w:eastAsia="仿宋_GB2312" w:cs="仿宋_GB2312"/>
          <w:kern w:val="0"/>
          <w:sz w:val="27"/>
          <w:szCs w:val="27"/>
          <w:lang w:val="en-US" w:eastAsia="zh-CN" w:bidi="ar"/>
        </w:rPr>
        <w:t>的评为</w:t>
      </w:r>
      <w:r>
        <w:rPr>
          <w:rFonts w:hint="default" w:ascii="Times New Roman" w:hAnsi="Times New Roman" w:eastAsia="仿宋_GB2312" w:cs="Times New Roman"/>
          <w:kern w:val="0"/>
          <w:sz w:val="27"/>
          <w:szCs w:val="27"/>
          <w:lang w:val="en-US" w:eastAsia="zh-CN" w:bidi="ar"/>
        </w:rPr>
        <w:t>A</w:t>
      </w:r>
      <w:r>
        <w:rPr>
          <w:rFonts w:hint="eastAsia" w:ascii="仿宋_GB2312" w:hAnsi="宋体" w:eastAsia="仿宋_GB2312" w:cs="仿宋_GB2312"/>
          <w:kern w:val="0"/>
          <w:sz w:val="27"/>
          <w:szCs w:val="27"/>
          <w:lang w:val="en-US" w:eastAsia="zh-CN" w:bidi="ar"/>
        </w:rPr>
        <w:t>级，得分排名</w:t>
      </w:r>
      <w:r>
        <w:rPr>
          <w:rFonts w:hint="eastAsia" w:ascii="Times New Roman" w:hAnsi="Times New Roman" w:eastAsia="仿宋_GB2312" w:cs="Times New Roman"/>
          <w:kern w:val="0"/>
          <w:sz w:val="27"/>
          <w:szCs w:val="27"/>
          <w:lang w:val="en-US" w:eastAsia="zh-CN" w:bidi="ar"/>
        </w:rPr>
        <w:t>3</w:t>
      </w:r>
      <w:r>
        <w:rPr>
          <w:rFonts w:hint="default" w:ascii="Times New Roman" w:hAnsi="Times New Roman" w:eastAsia="仿宋_GB2312" w:cs="Times New Roman"/>
          <w:kern w:val="0"/>
          <w:sz w:val="27"/>
          <w:szCs w:val="27"/>
          <w:lang w:val="en-US" w:eastAsia="zh-CN" w:bidi="ar"/>
        </w:rPr>
        <w:t>1%-80%</w:t>
      </w:r>
      <w:r>
        <w:rPr>
          <w:rFonts w:hint="eastAsia" w:ascii="仿宋_GB2312" w:hAnsi="宋体" w:eastAsia="仿宋_GB2312" w:cs="仿宋_GB2312"/>
          <w:kern w:val="0"/>
          <w:sz w:val="27"/>
          <w:szCs w:val="27"/>
          <w:lang w:val="en-US" w:eastAsia="zh-CN" w:bidi="ar"/>
        </w:rPr>
        <w:t>的评为</w:t>
      </w:r>
      <w:r>
        <w:rPr>
          <w:rFonts w:hint="default" w:ascii="Times New Roman" w:hAnsi="Times New Roman" w:eastAsia="仿宋_GB2312" w:cs="Times New Roman"/>
          <w:kern w:val="0"/>
          <w:sz w:val="27"/>
          <w:szCs w:val="27"/>
          <w:lang w:val="en-US" w:eastAsia="zh-CN" w:bidi="ar"/>
        </w:rPr>
        <w:t>B</w:t>
      </w:r>
      <w:r>
        <w:rPr>
          <w:rFonts w:hint="eastAsia" w:ascii="仿宋_GB2312" w:hAnsi="宋体" w:eastAsia="仿宋_GB2312" w:cs="仿宋_GB2312"/>
          <w:kern w:val="0"/>
          <w:sz w:val="27"/>
          <w:szCs w:val="27"/>
          <w:lang w:val="en-US" w:eastAsia="zh-CN" w:bidi="ar"/>
        </w:rPr>
        <w:t>级，其余的评定为</w:t>
      </w:r>
      <w:r>
        <w:rPr>
          <w:rFonts w:hint="default" w:ascii="Times New Roman" w:hAnsi="Times New Roman" w:eastAsia="仿宋_GB2312" w:cs="Times New Roman"/>
          <w:kern w:val="0"/>
          <w:sz w:val="27"/>
          <w:szCs w:val="27"/>
          <w:lang w:val="en-US" w:eastAsia="zh-CN" w:bidi="ar"/>
        </w:rPr>
        <w:t>C</w:t>
      </w:r>
      <w:r>
        <w:rPr>
          <w:rFonts w:hint="eastAsia" w:ascii="仿宋_GB2312" w:hAnsi="宋体" w:eastAsia="仿宋_GB2312" w:cs="仿宋_GB2312"/>
          <w:kern w:val="0"/>
          <w:sz w:val="27"/>
          <w:szCs w:val="27"/>
          <w:lang w:val="en-US" w:eastAsia="zh-CN" w:bidi="ar"/>
        </w:rPr>
        <w:t>级。</w:t>
      </w:r>
    </w:p>
    <w:p w14:paraId="389AD839">
      <w:pPr>
        <w:keepNext w:val="0"/>
        <w:keepLines w:val="0"/>
        <w:widowControl/>
        <w:numPr>
          <w:ilvl w:val="0"/>
          <w:numId w:val="0"/>
        </w:numPr>
        <w:suppressLineNumbers w:val="0"/>
        <w:ind w:firstLine="542" w:firstLineChars="200"/>
        <w:jc w:val="left"/>
        <w:rPr>
          <w:rFonts w:hint="eastAsia" w:ascii="仿宋_GB2312" w:hAnsi="宋体" w:eastAsia="仿宋_GB2312" w:cs="仿宋_GB2312"/>
          <w:kern w:val="0"/>
          <w:sz w:val="27"/>
          <w:szCs w:val="27"/>
          <w:lang w:val="en-US" w:eastAsia="zh-CN" w:bidi="ar"/>
        </w:rPr>
      </w:pPr>
      <w:r>
        <w:rPr>
          <w:rStyle w:val="6"/>
          <w:rFonts w:hint="eastAsia" w:ascii="仿宋_GB2312" w:hAnsi="宋体" w:eastAsia="仿宋_GB2312" w:cs="仿宋_GB2312"/>
          <w:kern w:val="0"/>
          <w:sz w:val="27"/>
          <w:szCs w:val="27"/>
          <w:lang w:val="en-US" w:eastAsia="zh-CN" w:bidi="ar"/>
        </w:rPr>
        <w:t>第十一条</w:t>
      </w:r>
      <w:r>
        <w:rPr>
          <w:rFonts w:hint="eastAsia" w:ascii="仿宋_GB2312" w:hAnsi="宋体" w:eastAsia="仿宋_GB2312" w:cs="仿宋_GB2312"/>
          <w:kern w:val="0"/>
          <w:sz w:val="27"/>
          <w:szCs w:val="27"/>
          <w:lang w:val="en-US" w:eastAsia="zh-CN" w:bidi="ar"/>
        </w:rPr>
        <w:t xml:space="preserve"> 备案主体评定年度内出现以下行为的，直接列入</w:t>
      </w:r>
      <w:r>
        <w:rPr>
          <w:rFonts w:hint="default" w:ascii="Times New Roman" w:hAnsi="Times New Roman" w:eastAsia="仿宋_GB2312" w:cs="Times New Roman"/>
          <w:kern w:val="0"/>
          <w:sz w:val="27"/>
          <w:szCs w:val="27"/>
          <w:lang w:val="en-US" w:eastAsia="zh-CN" w:bidi="ar"/>
        </w:rPr>
        <w:t>C</w:t>
      </w:r>
      <w:r>
        <w:rPr>
          <w:rFonts w:hint="eastAsia" w:ascii="仿宋_GB2312" w:hAnsi="宋体" w:eastAsia="仿宋_GB2312" w:cs="仿宋_GB2312"/>
          <w:kern w:val="0"/>
          <w:sz w:val="27"/>
          <w:szCs w:val="27"/>
          <w:lang w:val="en-US" w:eastAsia="zh-CN" w:bidi="ar"/>
        </w:rPr>
        <w:t>级：</w:t>
      </w:r>
    </w:p>
    <w:p w14:paraId="18012205">
      <w:pPr>
        <w:keepNext w:val="0"/>
        <w:keepLines w:val="0"/>
        <w:widowControl/>
        <w:numPr>
          <w:ilvl w:val="0"/>
          <w:numId w:val="2"/>
        </w:numPr>
        <w:suppressLineNumbers w:val="0"/>
        <w:ind w:firstLine="540" w:firstLineChars="200"/>
        <w:jc w:val="left"/>
        <w:rPr>
          <w:rFonts w:hint="eastAsia" w:ascii="仿宋_GB2312" w:hAnsi="宋体" w:eastAsia="仿宋_GB2312" w:cs="仿宋_GB2312"/>
          <w:kern w:val="0"/>
          <w:sz w:val="27"/>
          <w:szCs w:val="27"/>
          <w:lang w:val="en-US" w:eastAsia="zh-CN" w:bidi="ar"/>
        </w:rPr>
      </w:pPr>
      <w:r>
        <w:rPr>
          <w:rFonts w:hint="eastAsia" w:ascii="仿宋_GB2312" w:hAnsi="宋体" w:eastAsia="仿宋_GB2312" w:cs="仿宋_GB2312"/>
          <w:kern w:val="0"/>
          <w:sz w:val="27"/>
          <w:szCs w:val="27"/>
          <w:lang w:val="en-US" w:eastAsia="zh-CN" w:bidi="ar"/>
        </w:rPr>
        <w:t>有被国家知识产权局认定为非正常专利申请且申诉未通过记录的；</w:t>
      </w:r>
    </w:p>
    <w:p w14:paraId="4EBE16EA">
      <w:pPr>
        <w:keepNext w:val="0"/>
        <w:keepLines w:val="0"/>
        <w:widowControl/>
        <w:numPr>
          <w:ilvl w:val="0"/>
          <w:numId w:val="2"/>
        </w:numPr>
        <w:suppressLineNumbers w:val="0"/>
        <w:ind w:firstLine="540" w:firstLineChars="200"/>
        <w:jc w:val="left"/>
        <w:rPr>
          <w:rFonts w:hint="eastAsia" w:ascii="仿宋_GB2312" w:hAnsi="宋体" w:eastAsia="仿宋_GB2312" w:cs="仿宋_GB2312"/>
          <w:kern w:val="0"/>
          <w:sz w:val="27"/>
          <w:szCs w:val="27"/>
          <w:lang w:val="en-US" w:eastAsia="zh-CN" w:bidi="ar"/>
        </w:rPr>
      </w:pPr>
      <w:r>
        <w:rPr>
          <w:rFonts w:hint="eastAsia" w:ascii="仿宋_GB2312" w:hAnsi="宋体" w:eastAsia="仿宋_GB2312" w:cs="仿宋_GB2312"/>
          <w:kern w:val="0"/>
          <w:sz w:val="27"/>
          <w:szCs w:val="27"/>
          <w:lang w:val="en-US" w:eastAsia="zh-CN" w:bidi="ar"/>
        </w:rPr>
        <w:t>提交虚假材料或隐瞒重要事实的；</w:t>
      </w:r>
    </w:p>
    <w:p w14:paraId="0455EE16">
      <w:pPr>
        <w:keepNext w:val="0"/>
        <w:keepLines w:val="0"/>
        <w:widowControl/>
        <w:numPr>
          <w:ilvl w:val="0"/>
          <w:numId w:val="2"/>
        </w:numPr>
        <w:suppressLineNumbers w:val="0"/>
        <w:ind w:firstLine="540" w:firstLineChars="200"/>
        <w:jc w:val="left"/>
        <w:rPr>
          <w:rFonts w:hint="eastAsia" w:ascii="仿宋_GB2312" w:hAnsi="宋体" w:eastAsia="仿宋_GB2312" w:cs="仿宋_GB2312"/>
          <w:kern w:val="0"/>
          <w:sz w:val="27"/>
          <w:szCs w:val="27"/>
          <w:lang w:val="en-US" w:eastAsia="zh-CN" w:bidi="ar"/>
        </w:rPr>
      </w:pPr>
      <w:r>
        <w:rPr>
          <w:rFonts w:hint="eastAsia" w:ascii="仿宋_GB2312" w:hAnsi="宋体" w:eastAsia="仿宋_GB2312" w:cs="仿宋_GB2312"/>
          <w:kern w:val="0"/>
          <w:sz w:val="27"/>
          <w:szCs w:val="27"/>
          <w:lang w:val="en-US" w:eastAsia="zh-CN" w:bidi="ar"/>
        </w:rPr>
        <w:t>适用信用承诺并认定承诺不实或未履行承诺的；</w:t>
      </w:r>
    </w:p>
    <w:p w14:paraId="48ADB2D6">
      <w:pPr>
        <w:keepNext w:val="0"/>
        <w:keepLines w:val="0"/>
        <w:widowControl/>
        <w:numPr>
          <w:ilvl w:val="0"/>
          <w:numId w:val="2"/>
        </w:numPr>
        <w:suppressLineNumbers w:val="0"/>
        <w:ind w:firstLine="540" w:firstLineChars="200"/>
        <w:jc w:val="left"/>
        <w:rPr>
          <w:rFonts w:hint="eastAsia" w:ascii="仿宋_GB2312" w:hAnsi="宋体" w:eastAsia="仿宋_GB2312" w:cs="仿宋_GB2312"/>
          <w:kern w:val="0"/>
          <w:sz w:val="27"/>
          <w:szCs w:val="27"/>
          <w:lang w:val="en-US" w:eastAsia="zh-CN" w:bidi="ar"/>
        </w:rPr>
      </w:pPr>
      <w:r>
        <w:rPr>
          <w:rFonts w:hint="eastAsia" w:ascii="仿宋_GB2312" w:hAnsi="宋体" w:eastAsia="仿宋_GB2312" w:cs="仿宋_GB2312"/>
          <w:kern w:val="0"/>
          <w:sz w:val="27"/>
          <w:szCs w:val="27"/>
          <w:lang w:val="en-US" w:eastAsia="zh-CN" w:bidi="ar"/>
        </w:rPr>
        <w:t>对作出的行政处罚、行政裁决等，有履行能力但拒不履行、逃避执行的行为；</w:t>
      </w:r>
    </w:p>
    <w:p w14:paraId="1CD95209">
      <w:pPr>
        <w:keepNext w:val="0"/>
        <w:keepLines w:val="0"/>
        <w:widowControl/>
        <w:numPr>
          <w:ilvl w:val="0"/>
          <w:numId w:val="2"/>
        </w:numPr>
        <w:suppressLineNumbers w:val="0"/>
        <w:ind w:firstLine="540" w:firstLineChars="200"/>
        <w:jc w:val="left"/>
        <w:rPr>
          <w:rFonts w:hint="eastAsia" w:ascii="仿宋_GB2312" w:hAnsi="宋体" w:eastAsia="仿宋_GB2312" w:cs="仿宋_GB2312"/>
          <w:kern w:val="0"/>
          <w:sz w:val="27"/>
          <w:szCs w:val="27"/>
          <w:lang w:val="en-US" w:eastAsia="zh-CN" w:bidi="ar"/>
        </w:rPr>
      </w:pPr>
      <w:r>
        <w:rPr>
          <w:rFonts w:hint="eastAsia" w:ascii="仿宋_GB2312" w:hAnsi="宋体" w:eastAsia="仿宋_GB2312" w:cs="仿宋_GB2312"/>
          <w:kern w:val="0"/>
          <w:sz w:val="27"/>
          <w:szCs w:val="27"/>
          <w:lang w:val="en-US" w:eastAsia="zh-CN" w:bidi="ar"/>
        </w:rPr>
        <w:t>其他知识产权领域失信行为。</w:t>
      </w:r>
    </w:p>
    <w:p w14:paraId="5B2178DE">
      <w:pPr>
        <w:keepNext w:val="0"/>
        <w:keepLines w:val="0"/>
        <w:widowControl/>
        <w:numPr>
          <w:ilvl w:val="0"/>
          <w:numId w:val="0"/>
        </w:numPr>
        <w:suppressLineNumbers w:val="0"/>
        <w:ind w:firstLine="542" w:firstLineChars="200"/>
        <w:jc w:val="left"/>
        <w:rPr>
          <w:rFonts w:hint="eastAsia" w:ascii="仿宋_GB2312" w:hAnsi="宋体" w:eastAsia="仿宋_GB2312" w:cs="仿宋_GB2312"/>
          <w:kern w:val="0"/>
          <w:sz w:val="27"/>
          <w:szCs w:val="27"/>
          <w:lang w:val="en-US" w:eastAsia="zh-CN" w:bidi="ar"/>
        </w:rPr>
      </w:pPr>
      <w:r>
        <w:rPr>
          <w:rStyle w:val="6"/>
          <w:rFonts w:hint="eastAsia" w:ascii="仿宋_GB2312" w:hAnsi="宋体" w:eastAsia="仿宋_GB2312" w:cs="仿宋_GB2312"/>
          <w:kern w:val="0"/>
          <w:sz w:val="27"/>
          <w:szCs w:val="27"/>
          <w:lang w:val="en-US" w:eastAsia="zh-CN" w:bidi="ar"/>
        </w:rPr>
        <w:t>第十二条</w:t>
      </w:r>
      <w:r>
        <w:rPr>
          <w:rFonts w:hint="eastAsia" w:ascii="仿宋_GB2312" w:hAnsi="宋体" w:eastAsia="仿宋_GB2312" w:cs="仿宋_GB2312"/>
          <w:kern w:val="0"/>
          <w:sz w:val="27"/>
          <w:szCs w:val="27"/>
          <w:lang w:val="en-US" w:eastAsia="zh-CN" w:bidi="ar"/>
        </w:rPr>
        <w:t xml:space="preserve"> 备案主体对分级评定结果有异议的，应在</w:t>
      </w:r>
      <w:r>
        <w:rPr>
          <w:rFonts w:hint="default" w:ascii="Times New Roman" w:hAnsi="Times New Roman" w:eastAsia="仿宋_GB2312" w:cs="Times New Roman"/>
          <w:kern w:val="0"/>
          <w:sz w:val="27"/>
          <w:szCs w:val="27"/>
          <w:lang w:val="en-US" w:eastAsia="zh-CN" w:bidi="ar"/>
        </w:rPr>
        <w:t>7</w:t>
      </w:r>
      <w:r>
        <w:rPr>
          <w:rFonts w:hint="eastAsia" w:ascii="仿宋_GB2312" w:hAnsi="宋体" w:eastAsia="仿宋_GB2312" w:cs="仿宋_GB2312"/>
          <w:kern w:val="0"/>
          <w:sz w:val="27"/>
          <w:szCs w:val="27"/>
          <w:lang w:val="en-US" w:eastAsia="zh-CN" w:bidi="ar"/>
        </w:rPr>
        <w:t>个工作日内向汕头保护中心书面提出异议，申请调整评定等级，并附依据和事实理由。异议和申请缺乏依据，事实理由不成立的直接驳回；异议和申请依据充分，事实理由成立的，予以调整评定等级。</w:t>
      </w:r>
    </w:p>
    <w:p w14:paraId="35EABD27">
      <w:pPr>
        <w:keepNext w:val="0"/>
        <w:keepLines w:val="0"/>
        <w:widowControl/>
        <w:numPr>
          <w:ilvl w:val="0"/>
          <w:numId w:val="0"/>
        </w:numPr>
        <w:suppressLineNumbers w:val="0"/>
        <w:ind w:firstLine="542" w:firstLineChars="200"/>
        <w:jc w:val="left"/>
        <w:rPr>
          <w:rFonts w:hint="eastAsia" w:ascii="仿宋_GB2312" w:hAnsi="宋体" w:eastAsia="仿宋_GB2312" w:cs="仿宋_GB2312"/>
          <w:kern w:val="0"/>
          <w:sz w:val="27"/>
          <w:szCs w:val="27"/>
          <w:lang w:val="en-US" w:eastAsia="zh-CN" w:bidi="ar"/>
        </w:rPr>
      </w:pPr>
      <w:r>
        <w:rPr>
          <w:rStyle w:val="6"/>
          <w:rFonts w:hint="eastAsia" w:ascii="仿宋_GB2312" w:hAnsi="宋体" w:eastAsia="仿宋_GB2312" w:cs="仿宋_GB2312"/>
          <w:kern w:val="0"/>
          <w:sz w:val="27"/>
          <w:szCs w:val="27"/>
          <w:lang w:val="en-US" w:eastAsia="zh-CN" w:bidi="ar"/>
        </w:rPr>
        <w:t>第十三条</w:t>
      </w:r>
      <w:r>
        <w:rPr>
          <w:rFonts w:hint="eastAsia" w:ascii="仿宋_GB2312" w:hAnsi="宋体" w:eastAsia="仿宋_GB2312" w:cs="仿宋_GB2312"/>
          <w:kern w:val="0"/>
          <w:sz w:val="27"/>
          <w:szCs w:val="27"/>
          <w:lang w:val="en-US" w:eastAsia="zh-CN" w:bidi="ar"/>
        </w:rPr>
        <w:t xml:space="preserve"> 汕头保护中心将依据分级评定结果精准配置预审资源、优化预审服务，向高质量发明创造、产业发展有迫切需求和技术更新速度快的创新创造倾斜。</w:t>
      </w:r>
    </w:p>
    <w:p w14:paraId="451E4302">
      <w:pPr>
        <w:keepNext w:val="0"/>
        <w:keepLines w:val="0"/>
        <w:widowControl/>
        <w:numPr>
          <w:ilvl w:val="0"/>
          <w:numId w:val="1"/>
        </w:numPr>
        <w:suppressLineNumbers w:val="0"/>
        <w:ind w:left="0" w:leftChars="0" w:firstLine="540" w:firstLineChars="200"/>
        <w:jc w:val="center"/>
        <w:rPr>
          <w:rFonts w:hint="eastAsia" w:ascii="黑体" w:hAnsi="宋体" w:eastAsia="黑体" w:cs="黑体"/>
          <w:color w:val="000000"/>
          <w:kern w:val="0"/>
          <w:sz w:val="27"/>
          <w:szCs w:val="27"/>
          <w:lang w:val="en-US" w:eastAsia="zh-CN" w:bidi="ar"/>
        </w:rPr>
      </w:pPr>
      <w:r>
        <w:rPr>
          <w:rFonts w:hint="eastAsia" w:ascii="黑体" w:hAnsi="宋体" w:eastAsia="黑体" w:cs="黑体"/>
          <w:color w:val="000000"/>
          <w:kern w:val="0"/>
          <w:sz w:val="27"/>
          <w:szCs w:val="27"/>
          <w:lang w:val="en-US" w:eastAsia="zh-CN" w:bidi="ar"/>
        </w:rPr>
        <w:t>备案主体分级管理</w:t>
      </w:r>
    </w:p>
    <w:p w14:paraId="556D422A">
      <w:pPr>
        <w:keepNext w:val="0"/>
        <w:keepLines w:val="0"/>
        <w:widowControl/>
        <w:numPr>
          <w:ilvl w:val="0"/>
          <w:numId w:val="0"/>
        </w:numPr>
        <w:suppressLineNumbers w:val="0"/>
        <w:ind w:firstLine="542" w:firstLineChars="200"/>
        <w:jc w:val="left"/>
        <w:rPr>
          <w:rFonts w:hint="eastAsia" w:ascii="仿宋_GB2312" w:hAnsi="宋体" w:eastAsia="仿宋_GB2312" w:cs="仿宋_GB2312"/>
          <w:kern w:val="0"/>
          <w:sz w:val="27"/>
          <w:szCs w:val="27"/>
          <w:lang w:val="en-US" w:eastAsia="zh-CN" w:bidi="ar"/>
        </w:rPr>
      </w:pPr>
      <w:r>
        <w:rPr>
          <w:rStyle w:val="6"/>
          <w:rFonts w:hint="eastAsia" w:ascii="仿宋_GB2312" w:hAnsi="宋体" w:eastAsia="仿宋_GB2312" w:cs="仿宋_GB2312"/>
          <w:kern w:val="0"/>
          <w:sz w:val="27"/>
          <w:szCs w:val="27"/>
          <w:lang w:val="en-US" w:eastAsia="zh-CN" w:bidi="ar"/>
        </w:rPr>
        <w:t>第十四条</w:t>
      </w:r>
      <w:r>
        <w:rPr>
          <w:rFonts w:hint="eastAsia" w:ascii="仿宋_GB2312" w:hAnsi="宋体" w:eastAsia="仿宋_GB2312" w:cs="仿宋_GB2312"/>
          <w:kern w:val="0"/>
          <w:sz w:val="27"/>
          <w:szCs w:val="27"/>
          <w:lang w:val="en-US" w:eastAsia="zh-CN" w:bidi="ar"/>
        </w:rPr>
        <w:t xml:space="preserve"> 对等级为</w:t>
      </w:r>
      <w:r>
        <w:rPr>
          <w:rFonts w:hint="default" w:ascii="Times New Roman" w:hAnsi="Times New Roman" w:eastAsia="仿宋_GB2312" w:cs="Times New Roman"/>
          <w:kern w:val="0"/>
          <w:sz w:val="27"/>
          <w:szCs w:val="27"/>
          <w:lang w:val="en-US" w:eastAsia="zh-CN" w:bidi="ar"/>
        </w:rPr>
        <w:t>A</w:t>
      </w:r>
      <w:r>
        <w:rPr>
          <w:rFonts w:hint="eastAsia" w:ascii="仿宋_GB2312" w:hAnsi="宋体" w:eastAsia="仿宋_GB2312" w:cs="仿宋_GB2312"/>
          <w:kern w:val="0"/>
          <w:sz w:val="27"/>
          <w:szCs w:val="27"/>
          <w:lang w:val="en-US" w:eastAsia="zh-CN" w:bidi="ar"/>
        </w:rPr>
        <w:t>的备案主体：</w:t>
      </w:r>
    </w:p>
    <w:p w14:paraId="0FF4C3FD">
      <w:pPr>
        <w:keepNext w:val="0"/>
        <w:keepLines w:val="0"/>
        <w:widowControl/>
        <w:numPr>
          <w:ilvl w:val="0"/>
          <w:numId w:val="3"/>
        </w:numPr>
        <w:suppressLineNumbers w:val="0"/>
        <w:ind w:firstLine="540" w:firstLineChars="200"/>
        <w:jc w:val="left"/>
        <w:rPr>
          <w:rFonts w:hint="eastAsia" w:ascii="仿宋_GB2312" w:hAnsi="宋体" w:eastAsia="仿宋_GB2312" w:cs="仿宋_GB2312"/>
          <w:kern w:val="0"/>
          <w:sz w:val="27"/>
          <w:szCs w:val="27"/>
          <w:lang w:val="en-US" w:eastAsia="zh-CN" w:bidi="ar"/>
        </w:rPr>
      </w:pPr>
      <w:r>
        <w:rPr>
          <w:rFonts w:hint="eastAsia" w:ascii="仿宋_GB2312" w:hAnsi="宋体" w:eastAsia="仿宋_GB2312" w:cs="仿宋_GB2312"/>
          <w:kern w:val="0"/>
          <w:sz w:val="27"/>
          <w:szCs w:val="27"/>
          <w:lang w:val="en-US" w:eastAsia="zh-CN" w:bidi="ar"/>
        </w:rPr>
        <w:t>在汕头保护中心相关信息渠道中公示名单；</w:t>
      </w:r>
    </w:p>
    <w:p w14:paraId="2282FEE6">
      <w:pPr>
        <w:keepNext w:val="0"/>
        <w:keepLines w:val="0"/>
        <w:widowControl/>
        <w:numPr>
          <w:ilvl w:val="0"/>
          <w:numId w:val="3"/>
        </w:numPr>
        <w:suppressLineNumbers w:val="0"/>
        <w:ind w:firstLine="540" w:firstLineChars="200"/>
        <w:jc w:val="left"/>
        <w:rPr>
          <w:rFonts w:hint="eastAsia" w:ascii="仿宋_GB2312" w:hAnsi="宋体" w:eastAsia="仿宋_GB2312" w:cs="仿宋_GB2312"/>
          <w:kern w:val="0"/>
          <w:sz w:val="27"/>
          <w:szCs w:val="27"/>
          <w:lang w:val="en-US" w:eastAsia="zh-CN" w:bidi="ar"/>
        </w:rPr>
      </w:pPr>
      <w:r>
        <w:rPr>
          <w:rFonts w:hint="eastAsia" w:ascii="仿宋_GB2312" w:hAnsi="宋体" w:eastAsia="仿宋_GB2312" w:cs="仿宋_GB2312"/>
          <w:kern w:val="0"/>
          <w:sz w:val="27"/>
          <w:szCs w:val="27"/>
          <w:lang w:val="en-US" w:eastAsia="zh-CN" w:bidi="ar"/>
        </w:rPr>
        <w:t>在快速预审、快速维权、导航运用等协同保护的各项业务中优先提供服务；</w:t>
      </w:r>
    </w:p>
    <w:p w14:paraId="57267F7F">
      <w:pPr>
        <w:keepNext w:val="0"/>
        <w:keepLines w:val="0"/>
        <w:widowControl/>
        <w:numPr>
          <w:ilvl w:val="0"/>
          <w:numId w:val="3"/>
        </w:numPr>
        <w:suppressLineNumbers w:val="0"/>
        <w:ind w:firstLine="540" w:firstLineChars="200"/>
        <w:jc w:val="left"/>
        <w:rPr>
          <w:rFonts w:hint="eastAsia" w:ascii="仿宋_GB2312" w:hAnsi="宋体" w:eastAsia="仿宋_GB2312" w:cs="仿宋_GB2312"/>
          <w:kern w:val="0"/>
          <w:sz w:val="27"/>
          <w:szCs w:val="27"/>
          <w:lang w:val="en-US" w:eastAsia="zh-CN" w:bidi="ar"/>
        </w:rPr>
      </w:pPr>
      <w:r>
        <w:rPr>
          <w:rFonts w:hint="eastAsia" w:ascii="仿宋_GB2312" w:hAnsi="宋体" w:eastAsia="仿宋_GB2312" w:cs="仿宋_GB2312"/>
          <w:kern w:val="0"/>
          <w:sz w:val="27"/>
          <w:szCs w:val="27"/>
          <w:lang w:val="en-US" w:eastAsia="zh-CN" w:bidi="ar"/>
        </w:rPr>
        <w:t>在项目申报和综合运用服务方面，优先推荐；</w:t>
      </w:r>
    </w:p>
    <w:p w14:paraId="49B03FF3">
      <w:pPr>
        <w:keepNext w:val="0"/>
        <w:keepLines w:val="0"/>
        <w:widowControl/>
        <w:numPr>
          <w:ilvl w:val="0"/>
          <w:numId w:val="3"/>
        </w:numPr>
        <w:suppressLineNumbers w:val="0"/>
        <w:ind w:firstLine="540" w:firstLineChars="200"/>
        <w:jc w:val="left"/>
        <w:rPr>
          <w:rFonts w:hint="eastAsia" w:ascii="仿宋_GB2312" w:hAnsi="宋体" w:eastAsia="仿宋_GB2312" w:cs="仿宋_GB2312"/>
          <w:kern w:val="0"/>
          <w:sz w:val="27"/>
          <w:szCs w:val="27"/>
          <w:lang w:val="en-US" w:eastAsia="zh-CN" w:bidi="ar"/>
        </w:rPr>
      </w:pPr>
      <w:r>
        <w:rPr>
          <w:rFonts w:hint="eastAsia" w:ascii="仿宋_GB2312" w:hAnsi="宋体" w:eastAsia="仿宋_GB2312" w:cs="仿宋_GB2312"/>
          <w:kern w:val="0"/>
          <w:sz w:val="27"/>
          <w:szCs w:val="27"/>
          <w:lang w:val="en-US" w:eastAsia="zh-CN" w:bidi="ar"/>
        </w:rPr>
        <w:t>其他符合要求的优先服务。</w:t>
      </w:r>
    </w:p>
    <w:p w14:paraId="0B66A8F3">
      <w:pPr>
        <w:keepNext w:val="0"/>
        <w:keepLines w:val="0"/>
        <w:widowControl/>
        <w:numPr>
          <w:ilvl w:val="0"/>
          <w:numId w:val="0"/>
        </w:numPr>
        <w:suppressLineNumbers w:val="0"/>
        <w:ind w:firstLine="542" w:firstLineChars="200"/>
        <w:jc w:val="left"/>
        <w:rPr>
          <w:rFonts w:hint="eastAsia" w:ascii="仿宋_GB2312" w:hAnsi="宋体" w:eastAsia="仿宋_GB2312" w:cs="仿宋_GB2312"/>
          <w:kern w:val="0"/>
          <w:sz w:val="27"/>
          <w:szCs w:val="27"/>
          <w:lang w:val="en-US" w:eastAsia="zh-CN" w:bidi="ar"/>
        </w:rPr>
      </w:pPr>
      <w:r>
        <w:rPr>
          <w:rStyle w:val="6"/>
          <w:rFonts w:hint="eastAsia" w:ascii="仿宋_GB2312" w:hAnsi="宋体" w:eastAsia="仿宋_GB2312" w:cs="仿宋_GB2312"/>
          <w:kern w:val="0"/>
          <w:sz w:val="27"/>
          <w:szCs w:val="27"/>
          <w:lang w:val="en-US" w:eastAsia="zh-CN" w:bidi="ar"/>
        </w:rPr>
        <w:t>第十五条</w:t>
      </w:r>
      <w:r>
        <w:rPr>
          <w:rFonts w:hint="eastAsia" w:ascii="仿宋_GB2312" w:hAnsi="宋体" w:eastAsia="仿宋_GB2312" w:cs="仿宋_GB2312"/>
          <w:kern w:val="0"/>
          <w:sz w:val="27"/>
          <w:szCs w:val="27"/>
          <w:lang w:val="en-US" w:eastAsia="zh-CN" w:bidi="ar"/>
        </w:rPr>
        <w:t xml:space="preserve"> 对等级为</w:t>
      </w:r>
      <w:r>
        <w:rPr>
          <w:rFonts w:hint="default" w:ascii="Times New Roman" w:hAnsi="Times New Roman" w:eastAsia="仿宋_GB2312" w:cs="Times New Roman"/>
          <w:kern w:val="0"/>
          <w:sz w:val="27"/>
          <w:szCs w:val="27"/>
          <w:lang w:val="en-US" w:eastAsia="zh-CN" w:bidi="ar"/>
        </w:rPr>
        <w:t>B</w:t>
      </w:r>
      <w:r>
        <w:rPr>
          <w:rFonts w:hint="eastAsia" w:ascii="仿宋_GB2312" w:hAnsi="宋体" w:eastAsia="仿宋_GB2312" w:cs="仿宋_GB2312"/>
          <w:kern w:val="0"/>
          <w:sz w:val="27"/>
          <w:szCs w:val="27"/>
          <w:lang w:val="en-US" w:eastAsia="zh-CN" w:bidi="ar"/>
        </w:rPr>
        <w:t>的备案主体：</w:t>
      </w:r>
    </w:p>
    <w:p w14:paraId="3EC4A4F9">
      <w:pPr>
        <w:keepNext w:val="0"/>
        <w:keepLines w:val="0"/>
        <w:widowControl/>
        <w:numPr>
          <w:ilvl w:val="0"/>
          <w:numId w:val="4"/>
        </w:numPr>
        <w:suppressLineNumbers w:val="0"/>
        <w:ind w:firstLine="540" w:firstLineChars="200"/>
        <w:jc w:val="left"/>
        <w:rPr>
          <w:rFonts w:hint="eastAsia" w:ascii="仿宋_GB2312" w:hAnsi="宋体" w:eastAsia="仿宋_GB2312" w:cs="仿宋_GB2312"/>
          <w:kern w:val="0"/>
          <w:sz w:val="27"/>
          <w:szCs w:val="27"/>
          <w:lang w:val="en-US" w:eastAsia="zh-CN" w:bidi="ar"/>
        </w:rPr>
      </w:pPr>
      <w:r>
        <w:rPr>
          <w:rFonts w:hint="eastAsia" w:ascii="仿宋_GB2312" w:hAnsi="宋体" w:eastAsia="仿宋_GB2312" w:cs="仿宋_GB2312"/>
          <w:kern w:val="0"/>
          <w:sz w:val="27"/>
          <w:szCs w:val="27"/>
          <w:lang w:val="en-US" w:eastAsia="zh-CN" w:bidi="ar"/>
        </w:rPr>
        <w:t>提供常规专利预审服务，视专利预审申请技术方案情况要求其提交相关研发证明材料；</w:t>
      </w:r>
    </w:p>
    <w:p w14:paraId="01AF2EE9">
      <w:pPr>
        <w:keepNext w:val="0"/>
        <w:keepLines w:val="0"/>
        <w:widowControl/>
        <w:numPr>
          <w:ilvl w:val="0"/>
          <w:numId w:val="4"/>
        </w:numPr>
        <w:suppressLineNumbers w:val="0"/>
        <w:ind w:firstLine="540" w:firstLineChars="200"/>
        <w:jc w:val="left"/>
        <w:rPr>
          <w:rFonts w:hint="eastAsia" w:ascii="仿宋_GB2312" w:hAnsi="宋体" w:eastAsia="仿宋_GB2312" w:cs="仿宋_GB2312"/>
          <w:kern w:val="0"/>
          <w:sz w:val="27"/>
          <w:szCs w:val="27"/>
          <w:lang w:val="en-US" w:eastAsia="zh-CN" w:bidi="ar"/>
        </w:rPr>
      </w:pPr>
      <w:r>
        <w:rPr>
          <w:rFonts w:hint="eastAsia" w:ascii="仿宋_GB2312" w:hAnsi="宋体" w:eastAsia="仿宋_GB2312" w:cs="仿宋_GB2312"/>
          <w:kern w:val="0"/>
          <w:sz w:val="27"/>
          <w:szCs w:val="27"/>
          <w:lang w:val="en-US" w:eastAsia="zh-CN" w:bidi="ar"/>
        </w:rPr>
        <w:t>对上市企业、省级以上专精特新企业、知识产权示范（优势）企业、重点实验室等单位，经申请并提供佐证材料的，可提供优先服务；</w:t>
      </w:r>
    </w:p>
    <w:p w14:paraId="6142AA75">
      <w:pPr>
        <w:keepNext w:val="0"/>
        <w:keepLines w:val="0"/>
        <w:widowControl/>
        <w:numPr>
          <w:ilvl w:val="0"/>
          <w:numId w:val="4"/>
        </w:numPr>
        <w:suppressLineNumbers w:val="0"/>
        <w:ind w:firstLine="540" w:firstLineChars="200"/>
        <w:jc w:val="left"/>
        <w:rPr>
          <w:rFonts w:hint="eastAsia" w:ascii="仿宋_GB2312" w:hAnsi="宋体" w:eastAsia="仿宋_GB2312" w:cs="仿宋_GB2312"/>
          <w:kern w:val="0"/>
          <w:sz w:val="27"/>
          <w:szCs w:val="27"/>
          <w:lang w:val="en-US" w:eastAsia="zh-CN" w:bidi="ar"/>
        </w:rPr>
      </w:pPr>
      <w:r>
        <w:rPr>
          <w:rFonts w:hint="eastAsia" w:ascii="仿宋_GB2312" w:hAnsi="宋体" w:eastAsia="仿宋_GB2312" w:cs="仿宋_GB2312"/>
          <w:kern w:val="0"/>
          <w:sz w:val="27"/>
          <w:szCs w:val="27"/>
          <w:lang w:val="en-US" w:eastAsia="zh-CN" w:bidi="ar"/>
        </w:rPr>
        <w:t>对科技创新性高、市场潜力较大以及推广应用条件充分的研究成果，或属于国家、省、市重大科技创新、重大专项以及重点研发计划等项目的科技成果，对国家利益或社会公共利益具有重大意义的发明创造，经申请并审核通过后，可获得优先预审服务。</w:t>
      </w:r>
    </w:p>
    <w:p w14:paraId="496F42D3">
      <w:pPr>
        <w:keepNext w:val="0"/>
        <w:keepLines w:val="0"/>
        <w:widowControl/>
        <w:numPr>
          <w:ilvl w:val="0"/>
          <w:numId w:val="0"/>
        </w:numPr>
        <w:suppressLineNumbers w:val="0"/>
        <w:ind w:firstLine="542" w:firstLineChars="200"/>
        <w:jc w:val="left"/>
        <w:rPr>
          <w:rFonts w:hint="eastAsia" w:ascii="仿宋_GB2312" w:hAnsi="宋体" w:eastAsia="仿宋_GB2312" w:cs="仿宋_GB2312"/>
          <w:kern w:val="0"/>
          <w:sz w:val="27"/>
          <w:szCs w:val="27"/>
          <w:lang w:val="en-US" w:eastAsia="zh-CN" w:bidi="ar"/>
        </w:rPr>
      </w:pPr>
      <w:r>
        <w:rPr>
          <w:rStyle w:val="6"/>
          <w:rFonts w:hint="eastAsia" w:ascii="仿宋_GB2312" w:hAnsi="宋体" w:eastAsia="仿宋_GB2312" w:cs="仿宋_GB2312"/>
          <w:kern w:val="0"/>
          <w:sz w:val="27"/>
          <w:szCs w:val="27"/>
          <w:lang w:val="en-US" w:eastAsia="zh-CN" w:bidi="ar"/>
        </w:rPr>
        <w:t>第十六条</w:t>
      </w:r>
      <w:r>
        <w:rPr>
          <w:rFonts w:hint="eastAsia" w:ascii="仿宋_GB2312" w:hAnsi="宋体" w:eastAsia="仿宋_GB2312" w:cs="仿宋_GB2312"/>
          <w:kern w:val="0"/>
          <w:sz w:val="27"/>
          <w:szCs w:val="27"/>
          <w:lang w:val="en-US" w:eastAsia="zh-CN" w:bidi="ar"/>
        </w:rPr>
        <w:t xml:space="preserve"> 对等级为</w:t>
      </w:r>
      <w:r>
        <w:rPr>
          <w:rFonts w:hint="default" w:ascii="Times New Roman" w:hAnsi="Times New Roman" w:eastAsia="仿宋_GB2312" w:cs="Times New Roman"/>
          <w:kern w:val="0"/>
          <w:sz w:val="27"/>
          <w:szCs w:val="27"/>
          <w:lang w:val="en-US" w:eastAsia="zh-CN" w:bidi="ar"/>
        </w:rPr>
        <w:t>C</w:t>
      </w:r>
      <w:r>
        <w:rPr>
          <w:rFonts w:hint="eastAsia" w:ascii="仿宋_GB2312" w:hAnsi="宋体" w:eastAsia="仿宋_GB2312" w:cs="仿宋_GB2312"/>
          <w:kern w:val="0"/>
          <w:sz w:val="27"/>
          <w:szCs w:val="27"/>
          <w:lang w:val="en-US" w:eastAsia="zh-CN" w:bidi="ar"/>
        </w:rPr>
        <w:t>的备案主体：</w:t>
      </w:r>
    </w:p>
    <w:p w14:paraId="2841DD5D">
      <w:pPr>
        <w:keepNext w:val="0"/>
        <w:keepLines w:val="0"/>
        <w:widowControl/>
        <w:numPr>
          <w:ilvl w:val="0"/>
          <w:numId w:val="5"/>
        </w:numPr>
        <w:suppressLineNumbers w:val="0"/>
        <w:ind w:firstLine="540" w:firstLineChars="200"/>
        <w:jc w:val="left"/>
        <w:rPr>
          <w:rFonts w:hint="eastAsia" w:ascii="仿宋_GB2312" w:hAnsi="宋体" w:eastAsia="仿宋_GB2312" w:cs="仿宋_GB2312"/>
          <w:kern w:val="0"/>
          <w:sz w:val="27"/>
          <w:szCs w:val="27"/>
          <w:lang w:val="en-US" w:eastAsia="zh-CN" w:bidi="ar"/>
        </w:rPr>
      </w:pPr>
      <w:r>
        <w:rPr>
          <w:rFonts w:hint="eastAsia" w:ascii="仿宋_GB2312" w:hAnsi="宋体" w:eastAsia="仿宋_GB2312" w:cs="仿宋_GB2312"/>
          <w:kern w:val="0"/>
          <w:sz w:val="27"/>
          <w:szCs w:val="27"/>
          <w:lang w:val="en-US" w:eastAsia="zh-CN" w:bidi="ar"/>
        </w:rPr>
        <w:t>列为重点监督对象，增加检查频次，依法依规严格管理；</w:t>
      </w:r>
    </w:p>
    <w:p w14:paraId="4E9C1B67">
      <w:pPr>
        <w:keepNext w:val="0"/>
        <w:keepLines w:val="0"/>
        <w:widowControl/>
        <w:numPr>
          <w:ilvl w:val="0"/>
          <w:numId w:val="5"/>
        </w:numPr>
        <w:suppressLineNumbers w:val="0"/>
        <w:ind w:firstLine="540" w:firstLineChars="200"/>
        <w:jc w:val="left"/>
        <w:rPr>
          <w:rFonts w:hint="eastAsia" w:ascii="仿宋_GB2312" w:hAnsi="宋体" w:eastAsia="仿宋_GB2312" w:cs="仿宋_GB2312"/>
          <w:kern w:val="0"/>
          <w:sz w:val="27"/>
          <w:szCs w:val="27"/>
          <w:lang w:val="en-US" w:eastAsia="zh-CN" w:bidi="ar"/>
        </w:rPr>
      </w:pPr>
      <w:r>
        <w:rPr>
          <w:rFonts w:hint="eastAsia" w:ascii="仿宋_GB2312" w:hAnsi="宋体" w:eastAsia="仿宋_GB2312" w:cs="仿宋_GB2312"/>
          <w:kern w:val="0"/>
          <w:sz w:val="27"/>
          <w:szCs w:val="27"/>
          <w:lang w:val="en-US" w:eastAsia="zh-CN" w:bidi="ar"/>
        </w:rPr>
        <w:t>提交的专利预审申请应附交检索报告、相关研发证明、立项文件等证明材料；</w:t>
      </w:r>
    </w:p>
    <w:p w14:paraId="54E64426">
      <w:pPr>
        <w:keepNext w:val="0"/>
        <w:keepLines w:val="0"/>
        <w:widowControl/>
        <w:numPr>
          <w:ilvl w:val="0"/>
          <w:numId w:val="5"/>
        </w:numPr>
        <w:suppressLineNumbers w:val="0"/>
        <w:ind w:firstLine="540" w:firstLineChars="200"/>
        <w:jc w:val="left"/>
        <w:rPr>
          <w:rFonts w:hint="eastAsia" w:ascii="仿宋_GB2312" w:hAnsi="宋体" w:eastAsia="仿宋_GB2312" w:cs="仿宋_GB2312"/>
          <w:kern w:val="0"/>
          <w:sz w:val="27"/>
          <w:szCs w:val="27"/>
          <w:lang w:val="en-US" w:eastAsia="zh-CN" w:bidi="ar"/>
        </w:rPr>
      </w:pPr>
      <w:r>
        <w:rPr>
          <w:rFonts w:hint="eastAsia" w:ascii="仿宋_GB2312" w:hAnsi="宋体" w:eastAsia="仿宋_GB2312" w:cs="仿宋_GB2312"/>
          <w:kern w:val="0"/>
          <w:sz w:val="27"/>
          <w:szCs w:val="27"/>
          <w:lang w:val="en-US" w:eastAsia="zh-CN" w:bidi="ar"/>
        </w:rPr>
        <w:t>根据得分情况，按照《汕头市知识产权保护中心专利预审服务备案管理办法》规定，视情况予以“提醒”、“暂停预审服务”、“取消备案资格”处理。</w:t>
      </w:r>
    </w:p>
    <w:p w14:paraId="0D616126">
      <w:pPr>
        <w:keepNext w:val="0"/>
        <w:keepLines w:val="0"/>
        <w:widowControl/>
        <w:numPr>
          <w:ilvl w:val="0"/>
          <w:numId w:val="1"/>
        </w:numPr>
        <w:suppressLineNumbers w:val="0"/>
        <w:ind w:left="0" w:leftChars="0" w:firstLine="540" w:firstLineChars="200"/>
        <w:jc w:val="center"/>
        <w:rPr>
          <w:rFonts w:hint="eastAsia" w:ascii="黑体" w:hAnsi="宋体" w:eastAsia="黑体" w:cs="黑体"/>
          <w:color w:val="000000"/>
          <w:kern w:val="0"/>
          <w:sz w:val="27"/>
          <w:szCs w:val="27"/>
          <w:lang w:val="en-US" w:eastAsia="zh-CN" w:bidi="ar"/>
        </w:rPr>
      </w:pPr>
      <w:r>
        <w:rPr>
          <w:rFonts w:hint="eastAsia" w:ascii="黑体" w:hAnsi="宋体" w:eastAsia="黑体" w:cs="黑体"/>
          <w:color w:val="000000"/>
          <w:kern w:val="0"/>
          <w:sz w:val="27"/>
          <w:szCs w:val="27"/>
          <w:lang w:val="en-US" w:eastAsia="zh-CN" w:bidi="ar"/>
        </w:rPr>
        <w:t>附则</w:t>
      </w:r>
    </w:p>
    <w:p w14:paraId="64BAE25E">
      <w:pPr>
        <w:keepNext w:val="0"/>
        <w:keepLines w:val="0"/>
        <w:widowControl/>
        <w:numPr>
          <w:ilvl w:val="0"/>
          <w:numId w:val="0"/>
        </w:numPr>
        <w:suppressLineNumbers w:val="0"/>
        <w:ind w:firstLine="542" w:firstLineChars="200"/>
        <w:jc w:val="left"/>
        <w:rPr>
          <w:rFonts w:hint="eastAsia" w:ascii="仿宋_GB2312" w:hAnsi="宋体" w:eastAsia="仿宋_GB2312" w:cs="仿宋_GB2312"/>
          <w:kern w:val="0"/>
          <w:sz w:val="27"/>
          <w:szCs w:val="27"/>
          <w:lang w:val="en-US" w:eastAsia="zh-CN" w:bidi="ar"/>
        </w:rPr>
      </w:pPr>
      <w:r>
        <w:rPr>
          <w:rStyle w:val="6"/>
          <w:rFonts w:hint="eastAsia" w:ascii="仿宋_GB2312" w:hAnsi="宋体" w:eastAsia="仿宋_GB2312" w:cs="仿宋_GB2312"/>
          <w:kern w:val="0"/>
          <w:sz w:val="27"/>
          <w:szCs w:val="27"/>
          <w:lang w:val="en-US" w:eastAsia="zh-CN" w:bidi="ar"/>
        </w:rPr>
        <w:t>第二十条</w:t>
      </w:r>
      <w:r>
        <w:rPr>
          <w:rFonts w:hint="eastAsia" w:ascii="仿宋_GB2312" w:hAnsi="宋体" w:eastAsia="仿宋_GB2312" w:cs="仿宋_GB2312"/>
          <w:kern w:val="0"/>
          <w:sz w:val="27"/>
          <w:szCs w:val="27"/>
          <w:lang w:val="en-US" w:eastAsia="zh-CN" w:bidi="ar"/>
        </w:rPr>
        <w:t xml:space="preserve"> 汕头保护中心工作人员在分级分类管理工作中应当依法保护被评定主体的合法权益，对工作中知悉的国家秘密、商业秘密或个人隐私等，依法予以保密。</w:t>
      </w:r>
    </w:p>
    <w:p w14:paraId="1D8A61FB">
      <w:pPr>
        <w:keepNext w:val="0"/>
        <w:keepLines w:val="0"/>
        <w:widowControl/>
        <w:numPr>
          <w:ilvl w:val="0"/>
          <w:numId w:val="0"/>
        </w:numPr>
        <w:suppressLineNumbers w:val="0"/>
        <w:ind w:firstLine="542" w:firstLineChars="200"/>
        <w:jc w:val="left"/>
        <w:rPr>
          <w:rFonts w:hint="eastAsia" w:ascii="仿宋_GB2312" w:hAnsi="宋体" w:eastAsia="仿宋_GB2312" w:cs="仿宋_GB2312"/>
          <w:kern w:val="0"/>
          <w:sz w:val="27"/>
          <w:szCs w:val="27"/>
          <w:lang w:val="en-US" w:eastAsia="zh-CN" w:bidi="ar"/>
        </w:rPr>
      </w:pPr>
      <w:r>
        <w:rPr>
          <w:rStyle w:val="6"/>
          <w:rFonts w:hint="eastAsia" w:ascii="仿宋_GB2312" w:hAnsi="宋体" w:eastAsia="仿宋_GB2312" w:cs="仿宋_GB2312"/>
          <w:kern w:val="0"/>
          <w:sz w:val="27"/>
          <w:szCs w:val="27"/>
          <w:lang w:val="en-US" w:eastAsia="zh-CN" w:bidi="ar"/>
        </w:rPr>
        <w:t>第二十一条</w:t>
      </w:r>
      <w:r>
        <w:rPr>
          <w:rFonts w:hint="eastAsia" w:ascii="仿宋_GB2312" w:hAnsi="宋体" w:eastAsia="仿宋_GB2312" w:cs="仿宋_GB2312"/>
          <w:kern w:val="0"/>
          <w:sz w:val="27"/>
          <w:szCs w:val="27"/>
          <w:lang w:val="en-US" w:eastAsia="zh-CN" w:bidi="ar"/>
        </w:rPr>
        <w:t xml:space="preserve"> 汕头保护中心工作人员在分级分类管理工作中有玩忽职守、滥用职权、徇私舞弊等行为的，将严格追究其相关责任。</w:t>
      </w:r>
    </w:p>
    <w:p w14:paraId="6AEC9C25">
      <w:pPr>
        <w:keepNext w:val="0"/>
        <w:keepLines w:val="0"/>
        <w:widowControl/>
        <w:numPr>
          <w:ilvl w:val="0"/>
          <w:numId w:val="0"/>
        </w:numPr>
        <w:suppressLineNumbers w:val="0"/>
        <w:ind w:firstLine="542" w:firstLineChars="200"/>
        <w:jc w:val="left"/>
      </w:pPr>
      <w:r>
        <w:rPr>
          <w:rStyle w:val="6"/>
          <w:rFonts w:hint="eastAsia" w:ascii="仿宋_GB2312" w:hAnsi="宋体" w:eastAsia="仿宋_GB2312" w:cs="仿宋_GB2312"/>
          <w:kern w:val="0"/>
          <w:sz w:val="27"/>
          <w:szCs w:val="27"/>
          <w:lang w:val="en-US" w:eastAsia="zh-CN" w:bidi="ar"/>
        </w:rPr>
        <w:t>第二十二条</w:t>
      </w:r>
      <w:r>
        <w:rPr>
          <w:rFonts w:hint="eastAsia" w:ascii="仿宋_GB2312" w:hAnsi="宋体" w:eastAsia="仿宋_GB2312" w:cs="仿宋_GB2312"/>
          <w:kern w:val="0"/>
          <w:sz w:val="27"/>
          <w:szCs w:val="27"/>
          <w:lang w:val="en-US" w:eastAsia="zh-CN" w:bidi="ar"/>
        </w:rPr>
        <w:t xml:space="preserve"> 本办法由汕头保护中心负责解释，自印发之日起试行一年。</w:t>
      </w:r>
    </w:p>
    <w:p w14:paraId="59A06E9F">
      <w:pPr>
        <w:pStyle w:val="3"/>
        <w:keepNext w:val="0"/>
        <w:keepLines w:val="0"/>
        <w:widowControl/>
        <w:suppressLineNumbers w:val="0"/>
        <w:textAlignment w:val="baseline"/>
        <w:sectPr>
          <w:pgSz w:w="11906" w:h="16838"/>
          <w:pgMar w:top="1440" w:right="1800" w:bottom="1440" w:left="1800" w:header="851" w:footer="992" w:gutter="0"/>
          <w:cols w:space="425" w:num="1"/>
          <w:docGrid w:type="lines" w:linePitch="312" w:charSpace="0"/>
        </w:sectPr>
      </w:pPr>
    </w:p>
    <w:p w14:paraId="285A90E3">
      <w:pPr>
        <w:pStyle w:val="3"/>
        <w:keepNext w:val="0"/>
        <w:keepLines w:val="0"/>
        <w:widowControl/>
        <w:suppressLineNumbers w:val="0"/>
        <w:textAlignment w:val="baseline"/>
      </w:pPr>
    </w:p>
    <w:p w14:paraId="66232473">
      <w:pPr>
        <w:pStyle w:val="3"/>
        <w:keepNext w:val="0"/>
        <w:keepLines w:val="0"/>
        <w:widowControl/>
        <w:suppressLineNumbers w:val="0"/>
        <w:spacing w:before="0" w:beforeAutospacing="0" w:after="0" w:afterAutospacing="0"/>
        <w:textAlignment w:val="baseline"/>
        <w:rPr>
          <w:rFonts w:hint="eastAsia" w:ascii="黑体" w:hAnsi="宋体" w:eastAsia="黑体" w:cs="黑体"/>
          <w:color w:val="000000"/>
          <w:sz w:val="27"/>
          <w:szCs w:val="27"/>
          <w:vertAlign w:val="baseline"/>
        </w:rPr>
      </w:pPr>
      <w:r>
        <w:rPr>
          <w:rFonts w:hint="eastAsia" w:ascii="黑体" w:hAnsi="宋体" w:eastAsia="黑体" w:cs="黑体"/>
          <w:color w:val="000000"/>
          <w:sz w:val="27"/>
          <w:szCs w:val="27"/>
          <w:vertAlign w:val="baseline"/>
        </w:rPr>
        <w:t>附件1：</w:t>
      </w:r>
    </w:p>
    <w:p w14:paraId="547DEE65">
      <w:pPr>
        <w:keepNext w:val="0"/>
        <w:keepLines w:val="0"/>
        <w:widowControl/>
        <w:suppressLineNumbers w:val="0"/>
        <w:jc w:val="center"/>
      </w:pPr>
      <w:r>
        <w:rPr>
          <w:rStyle w:val="6"/>
          <w:rFonts w:ascii="宋体" w:hAnsi="宋体" w:eastAsia="宋体" w:cs="宋体"/>
          <w:kern w:val="0"/>
          <w:sz w:val="27"/>
          <w:szCs w:val="27"/>
          <w:lang w:val="en-US" w:eastAsia="zh-CN" w:bidi="ar"/>
        </w:rPr>
        <w:t>专利预审备案主体分级评定表</w:t>
      </w:r>
    </w:p>
    <w:tbl>
      <w:tblPr>
        <w:tblStyle w:val="4"/>
        <w:tblpPr w:leftFromText="180" w:rightFromText="180" w:vertAnchor="text" w:horzAnchor="page" w:tblpX="1116" w:tblpY="1284"/>
        <w:tblOverlap w:val="never"/>
        <w:tblW w:w="14173"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506"/>
        <w:gridCol w:w="1183"/>
        <w:gridCol w:w="1408"/>
        <w:gridCol w:w="1463"/>
        <w:gridCol w:w="5221"/>
        <w:gridCol w:w="600"/>
        <w:gridCol w:w="3792"/>
      </w:tblGrid>
      <w:tr w14:paraId="77C4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3" w:hRule="atLeast"/>
          <w:tblCellSpacing w:w="0" w:type="dxa"/>
        </w:trPr>
        <w:tc>
          <w:tcPr>
            <w:tcW w:w="506" w:type="dxa"/>
            <w:shd w:val="clear" w:color="auto" w:fill="auto"/>
            <w:tcMar>
              <w:top w:w="0" w:type="dxa"/>
              <w:left w:w="108" w:type="dxa"/>
              <w:bottom w:w="0" w:type="dxa"/>
              <w:right w:w="108" w:type="dxa"/>
            </w:tcMar>
            <w:vAlign w:val="center"/>
          </w:tcPr>
          <w:p w14:paraId="50D6DC7F">
            <w:pPr>
              <w:keepNext w:val="0"/>
              <w:keepLines w:val="0"/>
              <w:widowControl/>
              <w:suppressLineNumbers w:val="0"/>
              <w:jc w:val="center"/>
            </w:pPr>
            <w:r>
              <w:rPr>
                <w:rFonts w:hint="eastAsia" w:ascii="黑体" w:hAnsi="宋体" w:eastAsia="黑体" w:cs="黑体"/>
                <w:kern w:val="0"/>
                <w:sz w:val="18"/>
                <w:szCs w:val="18"/>
                <w:lang w:val="en-US" w:eastAsia="zh-CN" w:bidi="ar"/>
              </w:rPr>
              <w:t>序号</w:t>
            </w:r>
          </w:p>
        </w:tc>
        <w:tc>
          <w:tcPr>
            <w:tcW w:w="1183" w:type="dxa"/>
            <w:shd w:val="clear" w:color="auto" w:fill="auto"/>
            <w:tcMar>
              <w:top w:w="0" w:type="dxa"/>
              <w:left w:w="108" w:type="dxa"/>
              <w:bottom w:w="0" w:type="dxa"/>
              <w:right w:w="108" w:type="dxa"/>
            </w:tcMar>
            <w:vAlign w:val="center"/>
          </w:tcPr>
          <w:p w14:paraId="4821E576">
            <w:pPr>
              <w:keepNext w:val="0"/>
              <w:keepLines w:val="0"/>
              <w:widowControl/>
              <w:suppressLineNumbers w:val="0"/>
              <w:jc w:val="center"/>
            </w:pPr>
            <w:r>
              <w:rPr>
                <w:rFonts w:hint="eastAsia" w:ascii="黑体" w:hAnsi="宋体" w:eastAsia="黑体" w:cs="黑体"/>
                <w:kern w:val="0"/>
                <w:sz w:val="18"/>
                <w:szCs w:val="18"/>
                <w:lang w:val="en-US" w:eastAsia="zh-CN" w:bidi="ar"/>
              </w:rPr>
              <w:t>一级指标</w:t>
            </w:r>
          </w:p>
        </w:tc>
        <w:tc>
          <w:tcPr>
            <w:tcW w:w="1408" w:type="dxa"/>
            <w:shd w:val="clear" w:color="auto" w:fill="auto"/>
            <w:tcMar>
              <w:top w:w="0" w:type="dxa"/>
              <w:left w:w="108" w:type="dxa"/>
              <w:bottom w:w="0" w:type="dxa"/>
              <w:right w:w="108" w:type="dxa"/>
            </w:tcMar>
            <w:vAlign w:val="center"/>
          </w:tcPr>
          <w:p w14:paraId="6992BC59">
            <w:pPr>
              <w:keepNext w:val="0"/>
              <w:keepLines w:val="0"/>
              <w:widowControl/>
              <w:suppressLineNumbers w:val="0"/>
              <w:jc w:val="center"/>
            </w:pPr>
            <w:r>
              <w:rPr>
                <w:rFonts w:hint="eastAsia" w:ascii="黑体" w:hAnsi="宋体" w:eastAsia="黑体" w:cs="黑体"/>
                <w:kern w:val="0"/>
                <w:sz w:val="18"/>
                <w:szCs w:val="18"/>
                <w:lang w:val="en-US" w:eastAsia="zh-CN" w:bidi="ar"/>
              </w:rPr>
              <w:t>二级指标</w:t>
            </w:r>
          </w:p>
        </w:tc>
        <w:tc>
          <w:tcPr>
            <w:tcW w:w="1463" w:type="dxa"/>
            <w:shd w:val="clear" w:color="auto" w:fill="auto"/>
            <w:tcMar>
              <w:top w:w="0" w:type="dxa"/>
              <w:left w:w="108" w:type="dxa"/>
              <w:bottom w:w="0" w:type="dxa"/>
              <w:right w:w="108" w:type="dxa"/>
            </w:tcMar>
            <w:vAlign w:val="center"/>
          </w:tcPr>
          <w:p w14:paraId="1A4EFDDE">
            <w:pPr>
              <w:keepNext w:val="0"/>
              <w:keepLines w:val="0"/>
              <w:widowControl/>
              <w:suppressLineNumbers w:val="0"/>
              <w:jc w:val="center"/>
            </w:pPr>
            <w:r>
              <w:rPr>
                <w:rFonts w:hint="eastAsia" w:ascii="黑体" w:hAnsi="宋体" w:eastAsia="黑体" w:cs="黑体"/>
                <w:kern w:val="0"/>
                <w:sz w:val="18"/>
                <w:szCs w:val="18"/>
                <w:lang w:val="en-US" w:eastAsia="zh-CN" w:bidi="ar"/>
              </w:rPr>
              <w:t>三级指标</w:t>
            </w:r>
          </w:p>
        </w:tc>
        <w:tc>
          <w:tcPr>
            <w:tcW w:w="5221" w:type="dxa"/>
            <w:shd w:val="clear" w:color="auto" w:fill="auto"/>
            <w:tcMar>
              <w:top w:w="0" w:type="dxa"/>
              <w:left w:w="108" w:type="dxa"/>
              <w:bottom w:w="0" w:type="dxa"/>
              <w:right w:w="108" w:type="dxa"/>
            </w:tcMar>
            <w:vAlign w:val="center"/>
          </w:tcPr>
          <w:p w14:paraId="53F9E082">
            <w:pPr>
              <w:keepNext w:val="0"/>
              <w:keepLines w:val="0"/>
              <w:widowControl/>
              <w:suppressLineNumbers w:val="0"/>
              <w:jc w:val="center"/>
            </w:pPr>
            <w:r>
              <w:rPr>
                <w:rFonts w:hint="eastAsia" w:ascii="黑体" w:hAnsi="宋体" w:eastAsia="黑体" w:cs="黑体"/>
                <w:kern w:val="0"/>
                <w:sz w:val="18"/>
                <w:szCs w:val="18"/>
                <w:lang w:val="en-US" w:eastAsia="zh-CN" w:bidi="ar"/>
              </w:rPr>
              <w:t>指标说明</w:t>
            </w:r>
          </w:p>
        </w:tc>
        <w:tc>
          <w:tcPr>
            <w:tcW w:w="600" w:type="dxa"/>
            <w:shd w:val="clear" w:color="auto" w:fill="auto"/>
            <w:tcMar>
              <w:top w:w="0" w:type="dxa"/>
              <w:left w:w="108" w:type="dxa"/>
              <w:bottom w:w="0" w:type="dxa"/>
              <w:right w:w="108" w:type="dxa"/>
            </w:tcMar>
            <w:vAlign w:val="center"/>
          </w:tcPr>
          <w:p w14:paraId="43710530">
            <w:pPr>
              <w:keepNext w:val="0"/>
              <w:keepLines w:val="0"/>
              <w:widowControl/>
              <w:suppressLineNumbers w:val="0"/>
              <w:jc w:val="center"/>
            </w:pPr>
            <w:r>
              <w:rPr>
                <w:rFonts w:hint="eastAsia" w:ascii="黑体" w:hAnsi="宋体" w:eastAsia="黑体" w:cs="黑体"/>
                <w:kern w:val="0"/>
                <w:sz w:val="18"/>
                <w:szCs w:val="18"/>
                <w:lang w:val="en-US" w:eastAsia="zh-CN" w:bidi="ar"/>
              </w:rPr>
              <w:t>分值上限</w:t>
            </w:r>
          </w:p>
        </w:tc>
        <w:tc>
          <w:tcPr>
            <w:tcW w:w="3792" w:type="dxa"/>
            <w:shd w:val="clear" w:color="auto" w:fill="auto"/>
            <w:tcMar>
              <w:top w:w="0" w:type="dxa"/>
              <w:left w:w="108" w:type="dxa"/>
              <w:bottom w:w="0" w:type="dxa"/>
              <w:right w:w="108" w:type="dxa"/>
            </w:tcMar>
            <w:vAlign w:val="center"/>
          </w:tcPr>
          <w:p w14:paraId="07C4EE03">
            <w:pPr>
              <w:keepNext w:val="0"/>
              <w:keepLines w:val="0"/>
              <w:widowControl/>
              <w:suppressLineNumbers w:val="0"/>
              <w:jc w:val="center"/>
            </w:pPr>
            <w:r>
              <w:rPr>
                <w:rFonts w:hint="eastAsia" w:ascii="黑体" w:hAnsi="宋体" w:eastAsia="黑体" w:cs="黑体"/>
                <w:kern w:val="0"/>
                <w:sz w:val="18"/>
                <w:szCs w:val="18"/>
                <w:lang w:val="en-US" w:eastAsia="zh-CN" w:bidi="ar"/>
              </w:rPr>
              <w:t>评分标准</w:t>
            </w:r>
          </w:p>
        </w:tc>
      </w:tr>
      <w:tr w14:paraId="41324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09" w:hRule="atLeast"/>
          <w:tblCellSpacing w:w="0" w:type="dxa"/>
        </w:trPr>
        <w:tc>
          <w:tcPr>
            <w:tcW w:w="506" w:type="dxa"/>
            <w:shd w:val="clear" w:color="auto" w:fill="auto"/>
            <w:tcMar>
              <w:top w:w="0" w:type="dxa"/>
              <w:left w:w="108" w:type="dxa"/>
              <w:bottom w:w="0" w:type="dxa"/>
              <w:right w:w="108" w:type="dxa"/>
            </w:tcMar>
            <w:vAlign w:val="center"/>
          </w:tcPr>
          <w:p w14:paraId="02871CC3">
            <w:pPr>
              <w:keepNext w:val="0"/>
              <w:keepLines w:val="0"/>
              <w:widowControl/>
              <w:suppressLineNumbers w:val="0"/>
              <w:jc w:val="left"/>
            </w:pPr>
            <w:r>
              <w:rPr>
                <w:rFonts w:hint="default" w:ascii="Times New Roman" w:hAnsi="Times New Roman" w:eastAsia="仿宋_GB2312" w:cs="Times New Roman"/>
                <w:kern w:val="0"/>
                <w:sz w:val="18"/>
                <w:szCs w:val="18"/>
                <w:lang w:val="en-US" w:eastAsia="zh-CN" w:bidi="ar"/>
              </w:rPr>
              <w:t>1</w:t>
            </w:r>
          </w:p>
        </w:tc>
        <w:tc>
          <w:tcPr>
            <w:tcW w:w="1183" w:type="dxa"/>
            <w:shd w:val="clear" w:color="auto" w:fill="auto"/>
            <w:tcMar>
              <w:top w:w="0" w:type="dxa"/>
              <w:left w:w="108" w:type="dxa"/>
              <w:bottom w:w="0" w:type="dxa"/>
              <w:right w:w="108" w:type="dxa"/>
            </w:tcMar>
            <w:vAlign w:val="center"/>
          </w:tcPr>
          <w:p w14:paraId="1D8857CF">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基础指标（</w:t>
            </w:r>
            <w:r>
              <w:rPr>
                <w:rFonts w:hint="default" w:ascii="Times New Roman" w:hAnsi="Times New Roman" w:eastAsia="仿宋_GB2312" w:cs="Times New Roman"/>
                <w:kern w:val="0"/>
                <w:sz w:val="18"/>
                <w:szCs w:val="18"/>
                <w:lang w:val="en-US" w:eastAsia="zh-CN" w:bidi="ar"/>
              </w:rPr>
              <w:t>60</w:t>
            </w:r>
            <w:r>
              <w:rPr>
                <w:rFonts w:hint="eastAsia" w:ascii="仿宋_GB2312" w:hAnsi="宋体" w:eastAsia="仿宋_GB2312" w:cs="仿宋_GB2312"/>
                <w:kern w:val="0"/>
                <w:sz w:val="18"/>
                <w:szCs w:val="18"/>
                <w:lang w:val="en-US" w:eastAsia="zh-CN" w:bidi="ar"/>
              </w:rPr>
              <w:t>分）</w:t>
            </w:r>
          </w:p>
        </w:tc>
        <w:tc>
          <w:tcPr>
            <w:tcW w:w="1408" w:type="dxa"/>
            <w:shd w:val="clear" w:color="auto" w:fill="auto"/>
            <w:tcMar>
              <w:top w:w="0" w:type="dxa"/>
              <w:left w:w="108" w:type="dxa"/>
              <w:bottom w:w="0" w:type="dxa"/>
              <w:right w:w="108" w:type="dxa"/>
            </w:tcMar>
            <w:vAlign w:val="center"/>
          </w:tcPr>
          <w:p w14:paraId="370A62E9">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备案情况（</w:t>
            </w:r>
            <w:r>
              <w:rPr>
                <w:rFonts w:hint="default" w:ascii="Times New Roman" w:hAnsi="Times New Roman" w:eastAsia="仿宋_GB2312" w:cs="Times New Roman"/>
                <w:kern w:val="0"/>
                <w:sz w:val="18"/>
                <w:szCs w:val="18"/>
                <w:lang w:val="en-US" w:eastAsia="zh-CN" w:bidi="ar"/>
              </w:rPr>
              <w:t>60</w:t>
            </w:r>
            <w:r>
              <w:rPr>
                <w:rFonts w:hint="eastAsia" w:ascii="仿宋_GB2312" w:hAnsi="宋体" w:eastAsia="仿宋_GB2312" w:cs="仿宋_GB2312"/>
                <w:kern w:val="0"/>
                <w:sz w:val="18"/>
                <w:szCs w:val="18"/>
                <w:lang w:val="en-US" w:eastAsia="zh-CN" w:bidi="ar"/>
              </w:rPr>
              <w:t>）</w:t>
            </w:r>
          </w:p>
        </w:tc>
        <w:tc>
          <w:tcPr>
            <w:tcW w:w="1463" w:type="dxa"/>
            <w:shd w:val="clear" w:color="auto" w:fill="auto"/>
            <w:tcMar>
              <w:top w:w="0" w:type="dxa"/>
              <w:left w:w="108" w:type="dxa"/>
              <w:bottom w:w="0" w:type="dxa"/>
              <w:right w:w="108" w:type="dxa"/>
            </w:tcMar>
            <w:vAlign w:val="center"/>
          </w:tcPr>
          <w:p w14:paraId="03926DD2">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备案完成情况</w:t>
            </w:r>
          </w:p>
        </w:tc>
        <w:tc>
          <w:tcPr>
            <w:tcW w:w="5221" w:type="dxa"/>
            <w:shd w:val="clear" w:color="auto" w:fill="auto"/>
            <w:tcMar>
              <w:top w:w="0" w:type="dxa"/>
              <w:left w:w="108" w:type="dxa"/>
              <w:bottom w:w="0" w:type="dxa"/>
              <w:right w:w="108" w:type="dxa"/>
            </w:tcMar>
            <w:vAlign w:val="center"/>
          </w:tcPr>
          <w:p w14:paraId="4766BB14">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在汕头保护中心完成备案，以汕头保护中心预审管理平台数据为准。</w:t>
            </w:r>
          </w:p>
        </w:tc>
        <w:tc>
          <w:tcPr>
            <w:tcW w:w="600" w:type="dxa"/>
            <w:shd w:val="clear" w:color="auto" w:fill="auto"/>
            <w:tcMar>
              <w:top w:w="0" w:type="dxa"/>
              <w:left w:w="108" w:type="dxa"/>
              <w:bottom w:w="0" w:type="dxa"/>
              <w:right w:w="108" w:type="dxa"/>
            </w:tcMar>
            <w:vAlign w:val="center"/>
          </w:tcPr>
          <w:p w14:paraId="3A0910F7">
            <w:pPr>
              <w:keepNext w:val="0"/>
              <w:keepLines w:val="0"/>
              <w:widowControl/>
              <w:suppressLineNumbers w:val="0"/>
              <w:jc w:val="left"/>
            </w:pPr>
            <w:r>
              <w:rPr>
                <w:rFonts w:hint="default" w:ascii="Times New Roman" w:hAnsi="Times New Roman" w:eastAsia="宋体" w:cs="Times New Roman"/>
                <w:kern w:val="0"/>
                <w:sz w:val="18"/>
                <w:szCs w:val="18"/>
                <w:lang w:val="en-US" w:eastAsia="zh-CN" w:bidi="ar"/>
              </w:rPr>
              <w:t>60</w:t>
            </w:r>
          </w:p>
        </w:tc>
        <w:tc>
          <w:tcPr>
            <w:tcW w:w="3792" w:type="dxa"/>
            <w:shd w:val="clear" w:color="auto" w:fill="auto"/>
            <w:tcMar>
              <w:top w:w="0" w:type="dxa"/>
              <w:left w:w="108" w:type="dxa"/>
              <w:bottom w:w="0" w:type="dxa"/>
              <w:right w:w="108" w:type="dxa"/>
            </w:tcMar>
            <w:vAlign w:val="center"/>
          </w:tcPr>
          <w:p w14:paraId="61B4C328">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企事业单位在汕头保护中心完成备案的，得基础分</w:t>
            </w:r>
            <w:r>
              <w:rPr>
                <w:rFonts w:hint="default" w:ascii="Times New Roman" w:hAnsi="Times New Roman" w:eastAsia="仿宋_GB2312" w:cs="Times New Roman"/>
                <w:kern w:val="0"/>
                <w:sz w:val="18"/>
                <w:szCs w:val="18"/>
                <w:lang w:val="en-US" w:eastAsia="zh-CN" w:bidi="ar"/>
              </w:rPr>
              <w:t>60</w:t>
            </w:r>
            <w:r>
              <w:rPr>
                <w:rFonts w:hint="eastAsia" w:ascii="仿宋_GB2312" w:hAnsi="宋体" w:eastAsia="仿宋_GB2312" w:cs="仿宋_GB2312"/>
                <w:kern w:val="0"/>
                <w:sz w:val="18"/>
                <w:szCs w:val="18"/>
                <w:lang w:val="en-US" w:eastAsia="zh-CN" w:bidi="ar"/>
              </w:rPr>
              <w:t>分。</w:t>
            </w:r>
          </w:p>
        </w:tc>
      </w:tr>
      <w:tr w14:paraId="7C49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115" w:hRule="atLeast"/>
          <w:tblCellSpacing w:w="0" w:type="dxa"/>
        </w:trPr>
        <w:tc>
          <w:tcPr>
            <w:tcW w:w="506" w:type="dxa"/>
            <w:vMerge w:val="restart"/>
            <w:shd w:val="clear" w:color="auto" w:fill="auto"/>
            <w:tcMar>
              <w:top w:w="0" w:type="dxa"/>
              <w:left w:w="108" w:type="dxa"/>
              <w:bottom w:w="0" w:type="dxa"/>
              <w:right w:w="108" w:type="dxa"/>
            </w:tcMar>
            <w:vAlign w:val="center"/>
          </w:tcPr>
          <w:p w14:paraId="07F02180">
            <w:pPr>
              <w:keepNext w:val="0"/>
              <w:keepLines w:val="0"/>
              <w:widowControl/>
              <w:suppressLineNumbers w:val="0"/>
              <w:jc w:val="left"/>
            </w:pPr>
            <w:r>
              <w:rPr>
                <w:rFonts w:hint="default" w:ascii="Times New Roman" w:hAnsi="Times New Roman" w:eastAsia="宋体" w:cs="Times New Roman"/>
                <w:kern w:val="0"/>
                <w:sz w:val="18"/>
                <w:szCs w:val="18"/>
                <w:lang w:val="en-US" w:eastAsia="zh-CN" w:bidi="ar"/>
              </w:rPr>
              <w:t>2</w:t>
            </w:r>
          </w:p>
        </w:tc>
        <w:tc>
          <w:tcPr>
            <w:tcW w:w="1183" w:type="dxa"/>
            <w:vMerge w:val="restart"/>
            <w:shd w:val="clear" w:color="auto" w:fill="auto"/>
            <w:tcMar>
              <w:top w:w="0" w:type="dxa"/>
              <w:left w:w="108" w:type="dxa"/>
              <w:bottom w:w="0" w:type="dxa"/>
              <w:right w:w="108" w:type="dxa"/>
            </w:tcMar>
            <w:vAlign w:val="center"/>
          </w:tcPr>
          <w:p w14:paraId="51EDBA6D">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加分指标（</w:t>
            </w:r>
            <w:r>
              <w:rPr>
                <w:rFonts w:hint="default" w:ascii="Times New Roman" w:hAnsi="Times New Roman" w:eastAsia="仿宋_GB2312" w:cs="Times New Roman"/>
                <w:kern w:val="0"/>
                <w:sz w:val="18"/>
                <w:szCs w:val="18"/>
                <w:lang w:val="en-US" w:eastAsia="zh-CN" w:bidi="ar"/>
              </w:rPr>
              <w:t>75</w:t>
            </w:r>
            <w:r>
              <w:rPr>
                <w:rFonts w:hint="eastAsia" w:ascii="仿宋_GB2312" w:hAnsi="宋体" w:eastAsia="仿宋_GB2312" w:cs="仿宋_GB2312"/>
                <w:kern w:val="0"/>
                <w:sz w:val="18"/>
                <w:szCs w:val="18"/>
                <w:lang w:val="en-US" w:eastAsia="zh-CN" w:bidi="ar"/>
              </w:rPr>
              <w:t>分）</w:t>
            </w:r>
          </w:p>
        </w:tc>
        <w:tc>
          <w:tcPr>
            <w:tcW w:w="1408" w:type="dxa"/>
            <w:shd w:val="clear" w:color="auto" w:fill="auto"/>
            <w:tcMar>
              <w:top w:w="0" w:type="dxa"/>
              <w:left w:w="108" w:type="dxa"/>
              <w:bottom w:w="0" w:type="dxa"/>
              <w:right w:w="108" w:type="dxa"/>
            </w:tcMar>
            <w:vAlign w:val="center"/>
          </w:tcPr>
          <w:p w14:paraId="1E68190E">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主体资质（</w:t>
            </w:r>
            <w:r>
              <w:rPr>
                <w:rFonts w:hint="default" w:ascii="Times New Roman" w:hAnsi="Times New Roman" w:eastAsia="仿宋_GB2312" w:cs="Times New Roman"/>
                <w:kern w:val="0"/>
                <w:sz w:val="18"/>
                <w:szCs w:val="18"/>
                <w:lang w:val="en-US" w:eastAsia="zh-CN" w:bidi="ar"/>
              </w:rPr>
              <w:t>5</w:t>
            </w:r>
            <w:r>
              <w:rPr>
                <w:rFonts w:hint="eastAsia" w:ascii="仿宋_GB2312" w:hAnsi="宋体" w:eastAsia="仿宋_GB2312" w:cs="仿宋_GB2312"/>
                <w:kern w:val="0"/>
                <w:sz w:val="18"/>
                <w:szCs w:val="18"/>
                <w:lang w:val="en-US" w:eastAsia="zh-CN" w:bidi="ar"/>
              </w:rPr>
              <w:t>）</w:t>
            </w:r>
          </w:p>
        </w:tc>
        <w:tc>
          <w:tcPr>
            <w:tcW w:w="1463" w:type="dxa"/>
            <w:shd w:val="clear" w:color="auto" w:fill="auto"/>
            <w:tcMar>
              <w:top w:w="0" w:type="dxa"/>
              <w:left w:w="108" w:type="dxa"/>
              <w:bottom w:w="0" w:type="dxa"/>
              <w:right w:w="108" w:type="dxa"/>
            </w:tcMar>
            <w:vAlign w:val="center"/>
          </w:tcPr>
          <w:p w14:paraId="3939CFA2">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备案主体资质</w:t>
            </w:r>
          </w:p>
        </w:tc>
        <w:tc>
          <w:tcPr>
            <w:tcW w:w="5221" w:type="dxa"/>
            <w:shd w:val="clear" w:color="auto" w:fill="auto"/>
            <w:tcMar>
              <w:top w:w="0" w:type="dxa"/>
              <w:left w:w="108" w:type="dxa"/>
              <w:bottom w:w="0" w:type="dxa"/>
              <w:right w:w="108" w:type="dxa"/>
            </w:tcMar>
            <w:vAlign w:val="center"/>
          </w:tcPr>
          <w:p w14:paraId="1512426C">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资质包括并不限于：上市企业、市级以上专精特新企业、高新技术企业、知识产权示范（优势）企业、知识产权密集型培育企业、重点实验室等单位（需提供有效的资质认定时间、认定单位以及认定内容等佐证材料，并加盖公章）。</w:t>
            </w:r>
          </w:p>
        </w:tc>
        <w:tc>
          <w:tcPr>
            <w:tcW w:w="600" w:type="dxa"/>
            <w:shd w:val="clear" w:color="auto" w:fill="auto"/>
            <w:tcMar>
              <w:top w:w="0" w:type="dxa"/>
              <w:left w:w="108" w:type="dxa"/>
              <w:bottom w:w="0" w:type="dxa"/>
              <w:right w:w="108" w:type="dxa"/>
            </w:tcMar>
            <w:vAlign w:val="center"/>
          </w:tcPr>
          <w:p w14:paraId="20F1AF5C">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5</w:t>
            </w:r>
          </w:p>
        </w:tc>
        <w:tc>
          <w:tcPr>
            <w:tcW w:w="3792" w:type="dxa"/>
            <w:shd w:val="clear" w:color="auto" w:fill="auto"/>
            <w:tcMar>
              <w:top w:w="0" w:type="dxa"/>
              <w:left w:w="108" w:type="dxa"/>
              <w:bottom w:w="0" w:type="dxa"/>
              <w:right w:w="108" w:type="dxa"/>
            </w:tcMar>
            <w:vAlign w:val="center"/>
          </w:tcPr>
          <w:p w14:paraId="1D3DFC01">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属上市企业的，加</w:t>
            </w:r>
            <w:r>
              <w:rPr>
                <w:rFonts w:hint="default" w:ascii="Times New Roman" w:hAnsi="Times New Roman" w:eastAsia="仿宋_GB2312" w:cs="Times New Roman"/>
                <w:kern w:val="0"/>
                <w:sz w:val="18"/>
                <w:szCs w:val="18"/>
                <w:lang w:val="en-US" w:eastAsia="zh-CN" w:bidi="ar"/>
              </w:rPr>
              <w:t>5</w:t>
            </w:r>
            <w:r>
              <w:rPr>
                <w:rFonts w:hint="eastAsia" w:ascii="仿宋_GB2312" w:hAnsi="宋体" w:eastAsia="仿宋_GB2312" w:cs="仿宋_GB2312"/>
                <w:kern w:val="0"/>
                <w:sz w:val="18"/>
                <w:szCs w:val="18"/>
                <w:lang w:val="en-US" w:eastAsia="zh-CN" w:bidi="ar"/>
              </w:rPr>
              <w:t>分；具备有效国家级、省级、市级资质的，分别加</w:t>
            </w:r>
            <w:r>
              <w:rPr>
                <w:rFonts w:hint="default" w:ascii="Times New Roman" w:hAnsi="Times New Roman" w:eastAsia="仿宋_GB2312" w:cs="Times New Roman"/>
                <w:kern w:val="0"/>
                <w:sz w:val="18"/>
                <w:szCs w:val="18"/>
                <w:lang w:val="en-US" w:eastAsia="zh-CN" w:bidi="ar"/>
              </w:rPr>
              <w:t>5</w:t>
            </w:r>
            <w:r>
              <w:rPr>
                <w:rFonts w:hint="eastAsia" w:ascii="仿宋_GB2312" w:hAnsi="宋体" w:eastAsia="仿宋_GB2312" w:cs="仿宋_GB2312"/>
                <w:kern w:val="0"/>
                <w:sz w:val="18"/>
                <w:szCs w:val="18"/>
                <w:lang w:val="en-US" w:eastAsia="zh-CN" w:bidi="ar"/>
              </w:rPr>
              <w:t>分、</w:t>
            </w:r>
            <w:r>
              <w:rPr>
                <w:rFonts w:hint="default" w:ascii="Times New Roman" w:hAnsi="Times New Roman" w:eastAsia="仿宋_GB2312" w:cs="Times New Roman"/>
                <w:kern w:val="0"/>
                <w:sz w:val="18"/>
                <w:szCs w:val="18"/>
                <w:lang w:val="en-US" w:eastAsia="zh-CN" w:bidi="ar"/>
              </w:rPr>
              <w:t>3</w:t>
            </w:r>
            <w:r>
              <w:rPr>
                <w:rFonts w:hint="eastAsia" w:ascii="仿宋_GB2312" w:hAnsi="宋体" w:eastAsia="仿宋_GB2312" w:cs="仿宋_GB2312"/>
                <w:kern w:val="0"/>
                <w:sz w:val="18"/>
                <w:szCs w:val="18"/>
                <w:lang w:val="en-US" w:eastAsia="zh-CN" w:bidi="ar"/>
              </w:rPr>
              <w:t>分、</w:t>
            </w:r>
            <w:r>
              <w:rPr>
                <w:rFonts w:hint="default" w:ascii="Times New Roman" w:hAnsi="Times New Roman" w:eastAsia="仿宋_GB2312" w:cs="Times New Roman"/>
                <w:kern w:val="0"/>
                <w:sz w:val="18"/>
                <w:szCs w:val="18"/>
                <w:lang w:val="en-US" w:eastAsia="zh-CN" w:bidi="ar"/>
              </w:rPr>
              <w:t>1</w:t>
            </w:r>
            <w:r>
              <w:rPr>
                <w:rFonts w:hint="eastAsia" w:ascii="仿宋_GB2312" w:hAnsi="宋体" w:eastAsia="仿宋_GB2312" w:cs="仿宋_GB2312"/>
                <w:kern w:val="0"/>
                <w:sz w:val="18"/>
                <w:szCs w:val="18"/>
                <w:lang w:val="en-US" w:eastAsia="zh-CN" w:bidi="ar"/>
              </w:rPr>
              <w:t>分。</w:t>
            </w:r>
          </w:p>
        </w:tc>
      </w:tr>
      <w:tr w14:paraId="36A1D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304" w:hRule="atLeast"/>
          <w:tblCellSpacing w:w="0" w:type="dxa"/>
        </w:trPr>
        <w:tc>
          <w:tcPr>
            <w:tcW w:w="506" w:type="dxa"/>
            <w:vMerge w:val="continue"/>
            <w:shd w:val="clear" w:color="auto" w:fill="auto"/>
            <w:tcMar>
              <w:top w:w="0" w:type="dxa"/>
              <w:left w:w="108" w:type="dxa"/>
              <w:bottom w:w="0" w:type="dxa"/>
              <w:right w:w="108" w:type="dxa"/>
            </w:tcMar>
            <w:vAlign w:val="center"/>
          </w:tcPr>
          <w:p w14:paraId="2492316C">
            <w:pPr>
              <w:rPr>
                <w:rFonts w:hint="eastAsia" w:ascii="宋体"/>
                <w:sz w:val="24"/>
                <w:szCs w:val="24"/>
              </w:rPr>
            </w:pPr>
          </w:p>
        </w:tc>
        <w:tc>
          <w:tcPr>
            <w:tcW w:w="1183" w:type="dxa"/>
            <w:vMerge w:val="continue"/>
            <w:shd w:val="clear" w:color="auto" w:fill="auto"/>
            <w:tcMar>
              <w:top w:w="0" w:type="dxa"/>
              <w:left w:w="108" w:type="dxa"/>
              <w:bottom w:w="0" w:type="dxa"/>
              <w:right w:w="108" w:type="dxa"/>
            </w:tcMar>
            <w:vAlign w:val="center"/>
          </w:tcPr>
          <w:p w14:paraId="11006C17">
            <w:pPr>
              <w:rPr>
                <w:rFonts w:hint="eastAsia" w:ascii="宋体"/>
                <w:sz w:val="24"/>
                <w:szCs w:val="24"/>
              </w:rPr>
            </w:pPr>
          </w:p>
        </w:tc>
        <w:tc>
          <w:tcPr>
            <w:tcW w:w="1408" w:type="dxa"/>
            <w:shd w:val="clear" w:color="auto" w:fill="auto"/>
            <w:tcMar>
              <w:top w:w="0" w:type="dxa"/>
              <w:left w:w="108" w:type="dxa"/>
              <w:bottom w:w="0" w:type="dxa"/>
              <w:right w:w="108" w:type="dxa"/>
            </w:tcMar>
            <w:vAlign w:val="center"/>
          </w:tcPr>
          <w:p w14:paraId="3F70B96D">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项目承接（</w:t>
            </w:r>
            <w:r>
              <w:rPr>
                <w:rFonts w:hint="default" w:ascii="Times New Roman" w:hAnsi="Times New Roman" w:eastAsia="仿宋_GB2312" w:cs="Times New Roman"/>
                <w:kern w:val="0"/>
                <w:sz w:val="18"/>
                <w:szCs w:val="18"/>
                <w:lang w:val="en-US" w:eastAsia="zh-CN" w:bidi="ar"/>
              </w:rPr>
              <w:t>5</w:t>
            </w:r>
            <w:r>
              <w:rPr>
                <w:rFonts w:hint="eastAsia" w:ascii="仿宋_GB2312" w:hAnsi="宋体" w:eastAsia="仿宋_GB2312" w:cs="仿宋_GB2312"/>
                <w:kern w:val="0"/>
                <w:sz w:val="18"/>
                <w:szCs w:val="18"/>
                <w:lang w:val="en-US" w:eastAsia="zh-CN" w:bidi="ar"/>
              </w:rPr>
              <w:t>）</w:t>
            </w:r>
          </w:p>
        </w:tc>
        <w:tc>
          <w:tcPr>
            <w:tcW w:w="1463" w:type="dxa"/>
            <w:shd w:val="clear" w:color="auto" w:fill="auto"/>
            <w:tcMar>
              <w:top w:w="0" w:type="dxa"/>
              <w:left w:w="108" w:type="dxa"/>
              <w:bottom w:w="0" w:type="dxa"/>
              <w:right w:w="108" w:type="dxa"/>
            </w:tcMar>
            <w:vAlign w:val="center"/>
          </w:tcPr>
          <w:p w14:paraId="14E670F1">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承接项目情况</w:t>
            </w:r>
          </w:p>
        </w:tc>
        <w:tc>
          <w:tcPr>
            <w:tcW w:w="5221" w:type="dxa"/>
            <w:shd w:val="clear" w:color="auto" w:fill="auto"/>
            <w:tcMar>
              <w:top w:w="0" w:type="dxa"/>
              <w:left w:w="108" w:type="dxa"/>
              <w:bottom w:w="0" w:type="dxa"/>
              <w:right w:w="108" w:type="dxa"/>
            </w:tcMar>
            <w:vAlign w:val="center"/>
          </w:tcPr>
          <w:p w14:paraId="483FC8AE">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承接国家级、省级、市级科技创新和知识产权项目数量（需提供项目申报书、项目立项、协议、合同等佐证材料，并加盖公章）。</w:t>
            </w:r>
          </w:p>
        </w:tc>
        <w:tc>
          <w:tcPr>
            <w:tcW w:w="600" w:type="dxa"/>
            <w:shd w:val="clear" w:color="auto" w:fill="auto"/>
            <w:tcMar>
              <w:top w:w="0" w:type="dxa"/>
              <w:left w:w="108" w:type="dxa"/>
              <w:bottom w:w="0" w:type="dxa"/>
              <w:right w:w="108" w:type="dxa"/>
            </w:tcMar>
            <w:vAlign w:val="center"/>
          </w:tcPr>
          <w:p w14:paraId="38309FDB">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5</w:t>
            </w:r>
          </w:p>
        </w:tc>
        <w:tc>
          <w:tcPr>
            <w:tcW w:w="3792" w:type="dxa"/>
            <w:shd w:val="clear" w:color="auto" w:fill="auto"/>
            <w:tcMar>
              <w:top w:w="0" w:type="dxa"/>
              <w:left w:w="108" w:type="dxa"/>
              <w:bottom w:w="0" w:type="dxa"/>
              <w:right w:w="108" w:type="dxa"/>
            </w:tcMar>
            <w:vAlign w:val="center"/>
          </w:tcPr>
          <w:p w14:paraId="05CBD73D">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承接国家级、省级、市级科技创新项目或知识产权项目的，分别加</w:t>
            </w:r>
            <w:r>
              <w:rPr>
                <w:rFonts w:hint="default" w:ascii="Times New Roman" w:hAnsi="Times New Roman" w:eastAsia="仿宋_GB2312" w:cs="Times New Roman"/>
                <w:kern w:val="0"/>
                <w:sz w:val="18"/>
                <w:szCs w:val="18"/>
                <w:lang w:val="en-US" w:eastAsia="zh-CN" w:bidi="ar"/>
              </w:rPr>
              <w:t>5</w:t>
            </w:r>
            <w:r>
              <w:rPr>
                <w:rFonts w:hint="eastAsia" w:ascii="仿宋_GB2312" w:hAnsi="宋体" w:eastAsia="仿宋_GB2312" w:cs="仿宋_GB2312"/>
                <w:kern w:val="0"/>
                <w:sz w:val="18"/>
                <w:szCs w:val="18"/>
                <w:lang w:val="en-US" w:eastAsia="zh-CN" w:bidi="ar"/>
              </w:rPr>
              <w:t>分、</w:t>
            </w:r>
            <w:r>
              <w:rPr>
                <w:rFonts w:hint="default" w:ascii="Times New Roman" w:hAnsi="Times New Roman" w:eastAsia="仿宋_GB2312" w:cs="Times New Roman"/>
                <w:kern w:val="0"/>
                <w:sz w:val="18"/>
                <w:szCs w:val="18"/>
                <w:lang w:val="en-US" w:eastAsia="zh-CN" w:bidi="ar"/>
              </w:rPr>
              <w:t>3</w:t>
            </w:r>
            <w:r>
              <w:rPr>
                <w:rFonts w:hint="eastAsia" w:ascii="仿宋_GB2312" w:hAnsi="宋体" w:eastAsia="仿宋_GB2312" w:cs="仿宋_GB2312"/>
                <w:kern w:val="0"/>
                <w:sz w:val="18"/>
                <w:szCs w:val="18"/>
                <w:lang w:val="en-US" w:eastAsia="zh-CN" w:bidi="ar"/>
              </w:rPr>
              <w:t>分、</w:t>
            </w:r>
            <w:r>
              <w:rPr>
                <w:rFonts w:hint="default" w:ascii="Times New Roman" w:hAnsi="Times New Roman" w:eastAsia="仿宋_GB2312" w:cs="Times New Roman"/>
                <w:kern w:val="0"/>
                <w:sz w:val="18"/>
                <w:szCs w:val="18"/>
                <w:lang w:val="en-US" w:eastAsia="zh-CN" w:bidi="ar"/>
              </w:rPr>
              <w:t>1</w:t>
            </w:r>
            <w:r>
              <w:rPr>
                <w:rFonts w:hint="eastAsia" w:ascii="仿宋_GB2312" w:hAnsi="宋体" w:eastAsia="仿宋_GB2312" w:cs="仿宋_GB2312"/>
                <w:kern w:val="0"/>
                <w:sz w:val="18"/>
                <w:szCs w:val="18"/>
                <w:lang w:val="en-US" w:eastAsia="zh-CN" w:bidi="ar"/>
              </w:rPr>
              <w:t>分。</w:t>
            </w:r>
          </w:p>
        </w:tc>
      </w:tr>
      <w:tr w14:paraId="3254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202" w:hRule="atLeast"/>
          <w:tblCellSpacing w:w="0" w:type="dxa"/>
        </w:trPr>
        <w:tc>
          <w:tcPr>
            <w:tcW w:w="506" w:type="dxa"/>
            <w:vMerge w:val="continue"/>
            <w:shd w:val="clear" w:color="auto" w:fill="auto"/>
            <w:tcMar>
              <w:top w:w="0" w:type="dxa"/>
              <w:left w:w="108" w:type="dxa"/>
              <w:bottom w:w="0" w:type="dxa"/>
              <w:right w:w="108" w:type="dxa"/>
            </w:tcMar>
            <w:vAlign w:val="center"/>
          </w:tcPr>
          <w:p w14:paraId="1D40EECC">
            <w:pPr>
              <w:rPr>
                <w:rFonts w:hint="eastAsia" w:ascii="宋体"/>
                <w:sz w:val="24"/>
                <w:szCs w:val="24"/>
              </w:rPr>
            </w:pPr>
          </w:p>
        </w:tc>
        <w:tc>
          <w:tcPr>
            <w:tcW w:w="1183" w:type="dxa"/>
            <w:vMerge w:val="continue"/>
            <w:shd w:val="clear" w:color="auto" w:fill="auto"/>
            <w:tcMar>
              <w:top w:w="0" w:type="dxa"/>
              <w:left w:w="108" w:type="dxa"/>
              <w:bottom w:w="0" w:type="dxa"/>
              <w:right w:w="108" w:type="dxa"/>
            </w:tcMar>
            <w:vAlign w:val="center"/>
          </w:tcPr>
          <w:p w14:paraId="242C9999">
            <w:pPr>
              <w:rPr>
                <w:rFonts w:hint="eastAsia" w:ascii="宋体"/>
                <w:sz w:val="24"/>
                <w:szCs w:val="24"/>
              </w:rPr>
            </w:pPr>
          </w:p>
        </w:tc>
        <w:tc>
          <w:tcPr>
            <w:tcW w:w="1408" w:type="dxa"/>
            <w:shd w:val="clear" w:color="auto" w:fill="auto"/>
            <w:tcMar>
              <w:top w:w="0" w:type="dxa"/>
              <w:left w:w="108" w:type="dxa"/>
              <w:bottom w:w="0" w:type="dxa"/>
              <w:right w:w="108" w:type="dxa"/>
            </w:tcMar>
            <w:vAlign w:val="center"/>
          </w:tcPr>
          <w:p w14:paraId="325D69A3">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能力培育（</w:t>
            </w:r>
            <w:r>
              <w:rPr>
                <w:rFonts w:hint="default" w:ascii="Times New Roman" w:hAnsi="Times New Roman" w:eastAsia="仿宋_GB2312" w:cs="Times New Roman"/>
                <w:kern w:val="0"/>
                <w:sz w:val="18"/>
                <w:szCs w:val="18"/>
                <w:lang w:val="en-US" w:eastAsia="zh-CN" w:bidi="ar"/>
              </w:rPr>
              <w:t>4</w:t>
            </w:r>
            <w:r>
              <w:rPr>
                <w:rFonts w:hint="eastAsia" w:ascii="仿宋_GB2312" w:hAnsi="宋体" w:eastAsia="仿宋_GB2312" w:cs="仿宋_GB2312"/>
                <w:kern w:val="0"/>
                <w:sz w:val="18"/>
                <w:szCs w:val="18"/>
                <w:lang w:val="en-US" w:eastAsia="zh-CN" w:bidi="ar"/>
              </w:rPr>
              <w:t>）</w:t>
            </w:r>
          </w:p>
        </w:tc>
        <w:tc>
          <w:tcPr>
            <w:tcW w:w="1463" w:type="dxa"/>
            <w:shd w:val="clear" w:color="auto" w:fill="auto"/>
            <w:tcMar>
              <w:top w:w="0" w:type="dxa"/>
              <w:left w:w="108" w:type="dxa"/>
              <w:bottom w:w="0" w:type="dxa"/>
              <w:right w:w="108" w:type="dxa"/>
            </w:tcMar>
            <w:vAlign w:val="center"/>
          </w:tcPr>
          <w:p w14:paraId="0A30FD0B">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能力提升活动参与情况</w:t>
            </w:r>
          </w:p>
        </w:tc>
        <w:tc>
          <w:tcPr>
            <w:tcW w:w="5221" w:type="dxa"/>
            <w:shd w:val="clear" w:color="auto" w:fill="auto"/>
            <w:tcMar>
              <w:top w:w="0" w:type="dxa"/>
              <w:left w:w="108" w:type="dxa"/>
              <w:bottom w:w="0" w:type="dxa"/>
              <w:right w:w="108" w:type="dxa"/>
            </w:tcMar>
            <w:vAlign w:val="center"/>
          </w:tcPr>
          <w:p w14:paraId="1851EBFB">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评定年度内，积极参加汕头保护中心组织的各项业务培训或研讨活动，以汕头保护中心统计为准。</w:t>
            </w:r>
          </w:p>
        </w:tc>
        <w:tc>
          <w:tcPr>
            <w:tcW w:w="600" w:type="dxa"/>
            <w:shd w:val="clear" w:color="auto" w:fill="auto"/>
            <w:tcMar>
              <w:top w:w="0" w:type="dxa"/>
              <w:left w:w="108" w:type="dxa"/>
              <w:bottom w:w="0" w:type="dxa"/>
              <w:right w:w="108" w:type="dxa"/>
            </w:tcMar>
            <w:vAlign w:val="center"/>
          </w:tcPr>
          <w:p w14:paraId="6BBCE50E">
            <w:pPr>
              <w:keepNext w:val="0"/>
              <w:keepLines w:val="0"/>
              <w:widowControl/>
              <w:suppressLineNumbers w:val="0"/>
              <w:jc w:val="left"/>
            </w:pPr>
            <w:r>
              <w:rPr>
                <w:rFonts w:hint="default" w:ascii="Times New Roman" w:hAnsi="Times New Roman" w:eastAsia="宋体" w:cs="Times New Roman"/>
                <w:kern w:val="0"/>
                <w:sz w:val="18"/>
                <w:szCs w:val="18"/>
                <w:lang w:val="en-US" w:eastAsia="zh-CN" w:bidi="ar"/>
              </w:rPr>
              <w:t>4</w:t>
            </w:r>
          </w:p>
        </w:tc>
        <w:tc>
          <w:tcPr>
            <w:tcW w:w="3792" w:type="dxa"/>
            <w:shd w:val="clear" w:color="auto" w:fill="auto"/>
            <w:tcMar>
              <w:top w:w="0" w:type="dxa"/>
              <w:left w:w="108" w:type="dxa"/>
              <w:bottom w:w="0" w:type="dxa"/>
              <w:right w:w="108" w:type="dxa"/>
            </w:tcMar>
            <w:vAlign w:val="center"/>
          </w:tcPr>
          <w:p w14:paraId="09CBB9EB">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每参加一次业务培训的，加</w:t>
            </w:r>
            <w:r>
              <w:rPr>
                <w:rFonts w:hint="default" w:ascii="Times New Roman" w:hAnsi="Times New Roman" w:eastAsia="仿宋_GB2312" w:cs="Times New Roman"/>
                <w:kern w:val="0"/>
                <w:sz w:val="18"/>
                <w:szCs w:val="18"/>
                <w:lang w:val="en-US" w:eastAsia="zh-CN" w:bidi="ar"/>
              </w:rPr>
              <w:t>1</w:t>
            </w:r>
            <w:r>
              <w:rPr>
                <w:rFonts w:hint="eastAsia" w:ascii="仿宋_GB2312" w:hAnsi="宋体" w:eastAsia="仿宋_GB2312" w:cs="仿宋_GB2312"/>
                <w:kern w:val="0"/>
                <w:sz w:val="18"/>
                <w:szCs w:val="18"/>
                <w:lang w:val="en-US" w:eastAsia="zh-CN" w:bidi="ar"/>
              </w:rPr>
              <w:t>分。</w:t>
            </w:r>
          </w:p>
        </w:tc>
      </w:tr>
      <w:tr w14:paraId="40A0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tblCellSpacing w:w="0" w:type="dxa"/>
        </w:trPr>
        <w:tc>
          <w:tcPr>
            <w:tcW w:w="506" w:type="dxa"/>
            <w:vMerge w:val="continue"/>
            <w:shd w:val="clear" w:color="auto" w:fill="auto"/>
            <w:tcMar>
              <w:top w:w="0" w:type="dxa"/>
              <w:left w:w="108" w:type="dxa"/>
              <w:bottom w:w="0" w:type="dxa"/>
              <w:right w:w="108" w:type="dxa"/>
            </w:tcMar>
            <w:vAlign w:val="center"/>
          </w:tcPr>
          <w:p w14:paraId="080D46C7">
            <w:pPr>
              <w:rPr>
                <w:rFonts w:hint="eastAsia" w:ascii="宋体"/>
                <w:sz w:val="24"/>
                <w:szCs w:val="24"/>
              </w:rPr>
            </w:pPr>
          </w:p>
        </w:tc>
        <w:tc>
          <w:tcPr>
            <w:tcW w:w="1183" w:type="dxa"/>
            <w:vMerge w:val="continue"/>
            <w:shd w:val="clear" w:color="auto" w:fill="auto"/>
            <w:tcMar>
              <w:top w:w="0" w:type="dxa"/>
              <w:left w:w="108" w:type="dxa"/>
              <w:bottom w:w="0" w:type="dxa"/>
              <w:right w:w="108" w:type="dxa"/>
            </w:tcMar>
            <w:vAlign w:val="center"/>
          </w:tcPr>
          <w:p w14:paraId="6DCE1028">
            <w:pPr>
              <w:rPr>
                <w:rFonts w:hint="eastAsia" w:ascii="宋体"/>
                <w:sz w:val="24"/>
                <w:szCs w:val="24"/>
              </w:rPr>
            </w:pPr>
          </w:p>
        </w:tc>
        <w:tc>
          <w:tcPr>
            <w:tcW w:w="1408" w:type="dxa"/>
            <w:shd w:val="clear" w:color="auto" w:fill="auto"/>
            <w:tcMar>
              <w:top w:w="0" w:type="dxa"/>
              <w:left w:w="108" w:type="dxa"/>
              <w:bottom w:w="0" w:type="dxa"/>
              <w:right w:w="108" w:type="dxa"/>
            </w:tcMar>
            <w:vAlign w:val="center"/>
          </w:tcPr>
          <w:p w14:paraId="4E91A29A">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信息报送（</w:t>
            </w:r>
            <w:r>
              <w:rPr>
                <w:rFonts w:hint="default" w:ascii="Times New Roman" w:hAnsi="Times New Roman" w:eastAsia="仿宋_GB2312" w:cs="Times New Roman"/>
                <w:kern w:val="0"/>
                <w:sz w:val="18"/>
                <w:szCs w:val="18"/>
                <w:lang w:val="en-US" w:eastAsia="zh-CN" w:bidi="ar"/>
              </w:rPr>
              <w:t>6</w:t>
            </w:r>
            <w:r>
              <w:rPr>
                <w:rFonts w:hint="eastAsia" w:ascii="仿宋_GB2312" w:hAnsi="宋体" w:eastAsia="仿宋_GB2312" w:cs="仿宋_GB2312"/>
                <w:kern w:val="0"/>
                <w:sz w:val="18"/>
                <w:szCs w:val="18"/>
                <w:lang w:val="en-US" w:eastAsia="zh-CN" w:bidi="ar"/>
              </w:rPr>
              <w:t>）</w:t>
            </w:r>
          </w:p>
        </w:tc>
        <w:tc>
          <w:tcPr>
            <w:tcW w:w="1463" w:type="dxa"/>
            <w:shd w:val="clear" w:color="auto" w:fill="auto"/>
            <w:tcMar>
              <w:top w:w="0" w:type="dxa"/>
              <w:left w:w="108" w:type="dxa"/>
              <w:bottom w:w="0" w:type="dxa"/>
              <w:right w:w="108" w:type="dxa"/>
            </w:tcMar>
            <w:vAlign w:val="center"/>
          </w:tcPr>
          <w:p w14:paraId="3A16D03E">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反馈典型案例</w:t>
            </w:r>
          </w:p>
        </w:tc>
        <w:tc>
          <w:tcPr>
            <w:tcW w:w="5221" w:type="dxa"/>
            <w:shd w:val="clear" w:color="auto" w:fill="auto"/>
            <w:tcMar>
              <w:top w:w="0" w:type="dxa"/>
              <w:left w:w="108" w:type="dxa"/>
              <w:bottom w:w="0" w:type="dxa"/>
              <w:right w:w="108" w:type="dxa"/>
            </w:tcMar>
            <w:vAlign w:val="center"/>
          </w:tcPr>
          <w:p w14:paraId="7CB10D2C">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评定年度内，向汕头保护中心反馈预审典型案例的情况。</w:t>
            </w:r>
          </w:p>
        </w:tc>
        <w:tc>
          <w:tcPr>
            <w:tcW w:w="600" w:type="dxa"/>
            <w:shd w:val="clear" w:color="auto" w:fill="auto"/>
            <w:tcMar>
              <w:top w:w="0" w:type="dxa"/>
              <w:left w:w="108" w:type="dxa"/>
              <w:bottom w:w="0" w:type="dxa"/>
              <w:right w:w="108" w:type="dxa"/>
            </w:tcMar>
            <w:vAlign w:val="center"/>
          </w:tcPr>
          <w:p w14:paraId="691B0BA1">
            <w:pPr>
              <w:keepNext w:val="0"/>
              <w:keepLines w:val="0"/>
              <w:widowControl/>
              <w:suppressLineNumbers w:val="0"/>
              <w:jc w:val="left"/>
            </w:pPr>
            <w:r>
              <w:rPr>
                <w:rFonts w:hint="eastAsia" w:ascii="Times New Roman" w:hAnsi="Times New Roman" w:eastAsia="宋体" w:cs="Times New Roman"/>
                <w:kern w:val="0"/>
                <w:sz w:val="18"/>
                <w:szCs w:val="18"/>
                <w:lang w:val="en-US" w:eastAsia="zh-CN" w:bidi="ar"/>
              </w:rPr>
              <w:t>6</w:t>
            </w:r>
          </w:p>
        </w:tc>
        <w:tc>
          <w:tcPr>
            <w:tcW w:w="3792" w:type="dxa"/>
            <w:shd w:val="clear" w:color="auto" w:fill="auto"/>
            <w:tcMar>
              <w:top w:w="0" w:type="dxa"/>
              <w:left w:w="108" w:type="dxa"/>
              <w:bottom w:w="0" w:type="dxa"/>
              <w:right w:w="108" w:type="dxa"/>
            </w:tcMar>
            <w:vAlign w:val="center"/>
          </w:tcPr>
          <w:p w14:paraId="46B16DB2">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提供的预审典型案例包括但不限于：授权发明创造产生了较好的转化应用效果，解决了关键、疑难技术问题，取得较好经济效益（如每件授权专利取得的效益价值）、社会效益等，被采用的，每件加</w:t>
            </w:r>
            <w:r>
              <w:rPr>
                <w:rFonts w:hint="eastAsia" w:ascii="Times New Roman" w:hAnsi="Times New Roman" w:eastAsia="仿宋_GB2312" w:cs="Times New Roman"/>
                <w:kern w:val="0"/>
                <w:sz w:val="18"/>
                <w:szCs w:val="18"/>
                <w:lang w:val="en-US" w:eastAsia="zh-CN" w:bidi="ar"/>
              </w:rPr>
              <w:t>3</w:t>
            </w:r>
            <w:r>
              <w:rPr>
                <w:rFonts w:hint="eastAsia" w:ascii="仿宋_GB2312" w:hAnsi="宋体" w:eastAsia="仿宋_GB2312" w:cs="仿宋_GB2312"/>
                <w:kern w:val="0"/>
                <w:sz w:val="18"/>
                <w:szCs w:val="18"/>
                <w:lang w:val="en-US" w:eastAsia="zh-CN" w:bidi="ar"/>
              </w:rPr>
              <w:t>分。</w:t>
            </w:r>
          </w:p>
        </w:tc>
      </w:tr>
      <w:tr w14:paraId="76DCF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tblCellSpacing w:w="0" w:type="dxa"/>
        </w:trPr>
        <w:tc>
          <w:tcPr>
            <w:tcW w:w="506" w:type="dxa"/>
            <w:vMerge w:val="continue"/>
            <w:shd w:val="clear" w:color="auto" w:fill="auto"/>
            <w:tcMar>
              <w:top w:w="0" w:type="dxa"/>
              <w:left w:w="108" w:type="dxa"/>
              <w:bottom w:w="0" w:type="dxa"/>
              <w:right w:w="108" w:type="dxa"/>
            </w:tcMar>
            <w:vAlign w:val="center"/>
          </w:tcPr>
          <w:p w14:paraId="35C1F85D">
            <w:pPr>
              <w:rPr>
                <w:rFonts w:hint="eastAsia" w:ascii="宋体"/>
                <w:sz w:val="24"/>
                <w:szCs w:val="24"/>
              </w:rPr>
            </w:pPr>
          </w:p>
        </w:tc>
        <w:tc>
          <w:tcPr>
            <w:tcW w:w="1183" w:type="dxa"/>
            <w:vMerge w:val="continue"/>
            <w:shd w:val="clear" w:color="auto" w:fill="auto"/>
            <w:tcMar>
              <w:top w:w="0" w:type="dxa"/>
              <w:left w:w="108" w:type="dxa"/>
              <w:bottom w:w="0" w:type="dxa"/>
              <w:right w:w="108" w:type="dxa"/>
            </w:tcMar>
            <w:vAlign w:val="center"/>
          </w:tcPr>
          <w:p w14:paraId="79C092FD">
            <w:pPr>
              <w:rPr>
                <w:rFonts w:hint="eastAsia" w:ascii="宋体"/>
                <w:sz w:val="24"/>
                <w:szCs w:val="24"/>
              </w:rPr>
            </w:pPr>
          </w:p>
        </w:tc>
        <w:tc>
          <w:tcPr>
            <w:tcW w:w="1408" w:type="dxa"/>
            <w:shd w:val="clear" w:color="auto" w:fill="auto"/>
            <w:tcMar>
              <w:top w:w="0" w:type="dxa"/>
              <w:left w:w="108" w:type="dxa"/>
              <w:bottom w:w="0" w:type="dxa"/>
              <w:right w:w="108" w:type="dxa"/>
            </w:tcMar>
            <w:vAlign w:val="center"/>
          </w:tcPr>
          <w:p w14:paraId="5838E980">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荣誉奖励（</w:t>
            </w:r>
            <w:r>
              <w:rPr>
                <w:rFonts w:hint="default" w:ascii="Times New Roman" w:hAnsi="Times New Roman" w:eastAsia="仿宋_GB2312" w:cs="Times New Roman"/>
                <w:kern w:val="0"/>
                <w:sz w:val="18"/>
                <w:szCs w:val="18"/>
                <w:lang w:val="en-US" w:eastAsia="zh-CN" w:bidi="ar"/>
              </w:rPr>
              <w:t>15</w:t>
            </w:r>
            <w:r>
              <w:rPr>
                <w:rFonts w:hint="eastAsia" w:ascii="仿宋_GB2312" w:hAnsi="宋体" w:eastAsia="仿宋_GB2312" w:cs="仿宋_GB2312"/>
                <w:kern w:val="0"/>
                <w:sz w:val="18"/>
                <w:szCs w:val="18"/>
                <w:lang w:val="en-US" w:eastAsia="zh-CN" w:bidi="ar"/>
              </w:rPr>
              <w:t>）</w:t>
            </w:r>
          </w:p>
        </w:tc>
        <w:tc>
          <w:tcPr>
            <w:tcW w:w="1463" w:type="dxa"/>
            <w:shd w:val="clear" w:color="auto" w:fill="auto"/>
            <w:tcMar>
              <w:top w:w="0" w:type="dxa"/>
              <w:left w:w="108" w:type="dxa"/>
              <w:bottom w:w="0" w:type="dxa"/>
              <w:right w:w="108" w:type="dxa"/>
            </w:tcMar>
            <w:vAlign w:val="center"/>
          </w:tcPr>
          <w:p w14:paraId="1B44511C">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备案主体获奖情况</w:t>
            </w:r>
          </w:p>
        </w:tc>
        <w:tc>
          <w:tcPr>
            <w:tcW w:w="5221" w:type="dxa"/>
            <w:shd w:val="clear" w:color="auto" w:fill="auto"/>
            <w:tcMar>
              <w:top w:w="0" w:type="dxa"/>
              <w:left w:w="108" w:type="dxa"/>
              <w:bottom w:w="0" w:type="dxa"/>
              <w:right w:w="108" w:type="dxa"/>
            </w:tcMar>
            <w:vAlign w:val="center"/>
          </w:tcPr>
          <w:p w14:paraId="112EB3A1">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评定年度内，备案主体作为申请人，获国家级、省级专利奖的情况（同一专利不重复计分），以正式文件数据为准。</w:t>
            </w:r>
          </w:p>
        </w:tc>
        <w:tc>
          <w:tcPr>
            <w:tcW w:w="600" w:type="dxa"/>
            <w:shd w:val="clear" w:color="auto" w:fill="auto"/>
            <w:tcMar>
              <w:top w:w="0" w:type="dxa"/>
              <w:left w:w="108" w:type="dxa"/>
              <w:bottom w:w="0" w:type="dxa"/>
              <w:right w:w="108" w:type="dxa"/>
            </w:tcMar>
            <w:vAlign w:val="center"/>
          </w:tcPr>
          <w:p w14:paraId="69472DC2">
            <w:pPr>
              <w:keepNext w:val="0"/>
              <w:keepLines w:val="0"/>
              <w:widowControl/>
              <w:suppressLineNumbers w:val="0"/>
              <w:jc w:val="left"/>
            </w:pPr>
            <w:r>
              <w:rPr>
                <w:rFonts w:hint="default" w:ascii="Times New Roman" w:hAnsi="Times New Roman" w:eastAsia="宋体" w:cs="Times New Roman"/>
                <w:kern w:val="0"/>
                <w:sz w:val="18"/>
                <w:szCs w:val="18"/>
                <w:lang w:val="en-US" w:eastAsia="zh-CN" w:bidi="ar"/>
              </w:rPr>
              <w:t>15</w:t>
            </w:r>
          </w:p>
        </w:tc>
        <w:tc>
          <w:tcPr>
            <w:tcW w:w="3792" w:type="dxa"/>
            <w:shd w:val="clear" w:color="auto" w:fill="auto"/>
            <w:tcMar>
              <w:top w:w="0" w:type="dxa"/>
              <w:left w:w="108" w:type="dxa"/>
              <w:bottom w:w="0" w:type="dxa"/>
              <w:right w:w="108" w:type="dxa"/>
            </w:tcMar>
            <w:vAlign w:val="center"/>
          </w:tcPr>
          <w:p w14:paraId="1A859AC5">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获得国家级专利奖一等奖、二等奖、三等奖、优秀奖的，分别加</w:t>
            </w:r>
            <w:r>
              <w:rPr>
                <w:rFonts w:hint="default" w:ascii="Times New Roman" w:hAnsi="Times New Roman" w:eastAsia="仿宋_GB2312" w:cs="Times New Roman"/>
                <w:kern w:val="0"/>
                <w:sz w:val="18"/>
                <w:szCs w:val="18"/>
                <w:lang w:val="en-US" w:eastAsia="zh-CN" w:bidi="ar"/>
              </w:rPr>
              <w:t>15</w:t>
            </w:r>
            <w:r>
              <w:rPr>
                <w:rFonts w:hint="eastAsia" w:ascii="仿宋_GB2312" w:hAnsi="宋体" w:eastAsia="仿宋_GB2312" w:cs="仿宋_GB2312"/>
                <w:kern w:val="0"/>
                <w:sz w:val="18"/>
                <w:szCs w:val="18"/>
                <w:lang w:val="en-US" w:eastAsia="zh-CN" w:bidi="ar"/>
              </w:rPr>
              <w:t>分、</w:t>
            </w:r>
            <w:r>
              <w:rPr>
                <w:rFonts w:hint="default" w:ascii="Times New Roman" w:hAnsi="Times New Roman" w:eastAsia="仿宋_GB2312" w:cs="Times New Roman"/>
                <w:kern w:val="0"/>
                <w:sz w:val="18"/>
                <w:szCs w:val="18"/>
                <w:lang w:val="en-US" w:eastAsia="zh-CN" w:bidi="ar"/>
              </w:rPr>
              <w:t>12</w:t>
            </w:r>
            <w:r>
              <w:rPr>
                <w:rFonts w:hint="eastAsia" w:ascii="仿宋_GB2312" w:hAnsi="宋体" w:eastAsia="仿宋_GB2312" w:cs="仿宋_GB2312"/>
                <w:kern w:val="0"/>
                <w:sz w:val="18"/>
                <w:szCs w:val="18"/>
                <w:lang w:val="en-US" w:eastAsia="zh-CN" w:bidi="ar"/>
              </w:rPr>
              <w:t>分、</w:t>
            </w:r>
            <w:r>
              <w:rPr>
                <w:rFonts w:hint="default" w:ascii="Times New Roman" w:hAnsi="Times New Roman" w:eastAsia="仿宋_GB2312" w:cs="Times New Roman"/>
                <w:kern w:val="0"/>
                <w:sz w:val="18"/>
                <w:szCs w:val="18"/>
                <w:lang w:val="en-US" w:eastAsia="zh-CN" w:bidi="ar"/>
              </w:rPr>
              <w:t>10</w:t>
            </w:r>
            <w:r>
              <w:rPr>
                <w:rFonts w:hint="eastAsia" w:ascii="仿宋_GB2312" w:hAnsi="宋体" w:eastAsia="仿宋_GB2312" w:cs="仿宋_GB2312"/>
                <w:kern w:val="0"/>
                <w:sz w:val="18"/>
                <w:szCs w:val="18"/>
                <w:lang w:val="en-US" w:eastAsia="zh-CN" w:bidi="ar"/>
              </w:rPr>
              <w:t>分、</w:t>
            </w:r>
            <w:r>
              <w:rPr>
                <w:rFonts w:hint="default" w:ascii="Times New Roman" w:hAnsi="Times New Roman" w:eastAsia="仿宋_GB2312" w:cs="Times New Roman"/>
                <w:kern w:val="0"/>
                <w:sz w:val="18"/>
                <w:szCs w:val="18"/>
                <w:lang w:val="en-US" w:eastAsia="zh-CN" w:bidi="ar"/>
              </w:rPr>
              <w:t>8</w:t>
            </w:r>
            <w:r>
              <w:rPr>
                <w:rFonts w:hint="eastAsia" w:ascii="仿宋_GB2312" w:hAnsi="宋体" w:eastAsia="仿宋_GB2312" w:cs="仿宋_GB2312"/>
                <w:kern w:val="0"/>
                <w:sz w:val="18"/>
                <w:szCs w:val="18"/>
                <w:lang w:val="en-US" w:eastAsia="zh-CN" w:bidi="ar"/>
              </w:rPr>
              <w:t>分；获得省专利特别奖、一等奖、二等奖、三等奖的，分别加</w:t>
            </w:r>
            <w:r>
              <w:rPr>
                <w:rFonts w:hint="default" w:ascii="Times New Roman" w:hAnsi="Times New Roman" w:eastAsia="仿宋_GB2312" w:cs="Times New Roman"/>
                <w:kern w:val="0"/>
                <w:sz w:val="18"/>
                <w:szCs w:val="18"/>
                <w:lang w:val="en-US" w:eastAsia="zh-CN" w:bidi="ar"/>
              </w:rPr>
              <w:t>10</w:t>
            </w:r>
            <w:r>
              <w:rPr>
                <w:rFonts w:hint="eastAsia" w:ascii="仿宋_GB2312" w:hAnsi="宋体" w:eastAsia="仿宋_GB2312" w:cs="仿宋_GB2312"/>
                <w:kern w:val="0"/>
                <w:sz w:val="18"/>
                <w:szCs w:val="18"/>
                <w:lang w:val="en-US" w:eastAsia="zh-CN" w:bidi="ar"/>
              </w:rPr>
              <w:t>分、</w:t>
            </w:r>
            <w:r>
              <w:rPr>
                <w:rFonts w:hint="default" w:ascii="Times New Roman" w:hAnsi="Times New Roman" w:eastAsia="仿宋_GB2312" w:cs="Times New Roman"/>
                <w:kern w:val="0"/>
                <w:sz w:val="18"/>
                <w:szCs w:val="18"/>
                <w:lang w:val="en-US" w:eastAsia="zh-CN" w:bidi="ar"/>
              </w:rPr>
              <w:t>8</w:t>
            </w:r>
            <w:r>
              <w:rPr>
                <w:rFonts w:hint="eastAsia" w:ascii="仿宋_GB2312" w:hAnsi="宋体" w:eastAsia="仿宋_GB2312" w:cs="仿宋_GB2312"/>
                <w:kern w:val="0"/>
                <w:sz w:val="18"/>
                <w:szCs w:val="18"/>
                <w:lang w:val="en-US" w:eastAsia="zh-CN" w:bidi="ar"/>
              </w:rPr>
              <w:t>分、</w:t>
            </w:r>
            <w:r>
              <w:rPr>
                <w:rFonts w:hint="default" w:ascii="Times New Roman" w:hAnsi="Times New Roman" w:eastAsia="仿宋_GB2312" w:cs="Times New Roman"/>
                <w:kern w:val="0"/>
                <w:sz w:val="18"/>
                <w:szCs w:val="18"/>
                <w:lang w:val="en-US" w:eastAsia="zh-CN" w:bidi="ar"/>
              </w:rPr>
              <w:t>6</w:t>
            </w:r>
            <w:r>
              <w:rPr>
                <w:rFonts w:hint="eastAsia" w:ascii="仿宋_GB2312" w:hAnsi="宋体" w:eastAsia="仿宋_GB2312" w:cs="仿宋_GB2312"/>
                <w:kern w:val="0"/>
                <w:sz w:val="18"/>
                <w:szCs w:val="18"/>
                <w:lang w:val="en-US" w:eastAsia="zh-CN" w:bidi="ar"/>
              </w:rPr>
              <w:t>分、</w:t>
            </w:r>
            <w:r>
              <w:rPr>
                <w:rFonts w:hint="default" w:ascii="Times New Roman" w:hAnsi="Times New Roman" w:eastAsia="仿宋_GB2312" w:cs="Times New Roman"/>
                <w:kern w:val="0"/>
                <w:sz w:val="18"/>
                <w:szCs w:val="18"/>
                <w:lang w:val="en-US" w:eastAsia="zh-CN" w:bidi="ar"/>
              </w:rPr>
              <w:t>5</w:t>
            </w:r>
            <w:r>
              <w:rPr>
                <w:rFonts w:hint="eastAsia" w:ascii="仿宋_GB2312" w:hAnsi="宋体" w:eastAsia="仿宋_GB2312" w:cs="仿宋_GB2312"/>
                <w:kern w:val="0"/>
                <w:sz w:val="18"/>
                <w:szCs w:val="18"/>
                <w:lang w:val="en-US" w:eastAsia="zh-CN" w:bidi="ar"/>
              </w:rPr>
              <w:t>分。</w:t>
            </w:r>
          </w:p>
        </w:tc>
      </w:tr>
      <w:tr w14:paraId="67D6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tblCellSpacing w:w="0" w:type="dxa"/>
        </w:trPr>
        <w:tc>
          <w:tcPr>
            <w:tcW w:w="506" w:type="dxa"/>
            <w:vMerge w:val="continue"/>
            <w:shd w:val="clear" w:color="auto" w:fill="auto"/>
            <w:tcMar>
              <w:top w:w="0" w:type="dxa"/>
              <w:left w:w="108" w:type="dxa"/>
              <w:bottom w:w="0" w:type="dxa"/>
              <w:right w:w="108" w:type="dxa"/>
            </w:tcMar>
            <w:vAlign w:val="center"/>
          </w:tcPr>
          <w:p w14:paraId="6B55D7F2">
            <w:pPr>
              <w:rPr>
                <w:rFonts w:hint="eastAsia" w:ascii="宋体"/>
                <w:sz w:val="24"/>
                <w:szCs w:val="24"/>
              </w:rPr>
            </w:pPr>
          </w:p>
        </w:tc>
        <w:tc>
          <w:tcPr>
            <w:tcW w:w="1183" w:type="dxa"/>
            <w:vMerge w:val="continue"/>
            <w:shd w:val="clear" w:color="auto" w:fill="auto"/>
            <w:tcMar>
              <w:top w:w="0" w:type="dxa"/>
              <w:left w:w="108" w:type="dxa"/>
              <w:bottom w:w="0" w:type="dxa"/>
              <w:right w:w="108" w:type="dxa"/>
            </w:tcMar>
            <w:vAlign w:val="center"/>
          </w:tcPr>
          <w:p w14:paraId="14891B3F">
            <w:pPr>
              <w:rPr>
                <w:rFonts w:hint="eastAsia" w:ascii="宋体"/>
                <w:sz w:val="24"/>
                <w:szCs w:val="24"/>
              </w:rPr>
            </w:pPr>
          </w:p>
        </w:tc>
        <w:tc>
          <w:tcPr>
            <w:tcW w:w="1408" w:type="dxa"/>
            <w:vMerge w:val="restart"/>
            <w:shd w:val="clear" w:color="auto" w:fill="auto"/>
            <w:tcMar>
              <w:top w:w="0" w:type="dxa"/>
              <w:left w:w="108" w:type="dxa"/>
              <w:bottom w:w="0" w:type="dxa"/>
              <w:right w:w="108" w:type="dxa"/>
            </w:tcMar>
            <w:vAlign w:val="center"/>
          </w:tcPr>
          <w:p w14:paraId="3EA97CEC">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预审申请质量（</w:t>
            </w:r>
            <w:r>
              <w:rPr>
                <w:rFonts w:hint="default" w:ascii="Times New Roman" w:hAnsi="Times New Roman" w:eastAsia="仿宋_GB2312" w:cs="Times New Roman"/>
                <w:kern w:val="0"/>
                <w:sz w:val="18"/>
                <w:szCs w:val="18"/>
                <w:lang w:val="en-US" w:eastAsia="zh-CN" w:bidi="ar"/>
              </w:rPr>
              <w:t>40</w:t>
            </w:r>
            <w:r>
              <w:rPr>
                <w:rFonts w:hint="eastAsia" w:ascii="仿宋_GB2312" w:hAnsi="宋体" w:eastAsia="仿宋_GB2312" w:cs="仿宋_GB2312"/>
                <w:kern w:val="0"/>
                <w:sz w:val="18"/>
                <w:szCs w:val="18"/>
                <w:lang w:val="en-US" w:eastAsia="zh-CN" w:bidi="ar"/>
              </w:rPr>
              <w:t>）</w:t>
            </w:r>
          </w:p>
        </w:tc>
        <w:tc>
          <w:tcPr>
            <w:tcW w:w="1463" w:type="dxa"/>
            <w:shd w:val="clear" w:color="auto" w:fill="auto"/>
            <w:tcMar>
              <w:top w:w="0" w:type="dxa"/>
              <w:left w:w="108" w:type="dxa"/>
              <w:bottom w:w="0" w:type="dxa"/>
              <w:right w:w="108" w:type="dxa"/>
            </w:tcMar>
            <w:vAlign w:val="center"/>
          </w:tcPr>
          <w:p w14:paraId="4E56AD4F">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预审请求量</w:t>
            </w:r>
          </w:p>
        </w:tc>
        <w:tc>
          <w:tcPr>
            <w:tcW w:w="5221" w:type="dxa"/>
            <w:shd w:val="clear" w:color="auto" w:fill="auto"/>
            <w:tcMar>
              <w:top w:w="0" w:type="dxa"/>
              <w:left w:w="108" w:type="dxa"/>
              <w:bottom w:w="0" w:type="dxa"/>
              <w:right w:w="108" w:type="dxa"/>
            </w:tcMar>
            <w:vAlign w:val="center"/>
          </w:tcPr>
          <w:p w14:paraId="7460F92B">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评定年度内，备案主体向汕头保护中心提交的专利预审申请量，以汕头保护中心预审管理平台数据为准。</w:t>
            </w:r>
          </w:p>
        </w:tc>
        <w:tc>
          <w:tcPr>
            <w:tcW w:w="600" w:type="dxa"/>
            <w:shd w:val="clear" w:color="auto" w:fill="auto"/>
            <w:tcMar>
              <w:top w:w="0" w:type="dxa"/>
              <w:left w:w="108" w:type="dxa"/>
              <w:bottom w:w="0" w:type="dxa"/>
              <w:right w:w="108" w:type="dxa"/>
            </w:tcMar>
            <w:vAlign w:val="center"/>
          </w:tcPr>
          <w:p w14:paraId="43F08B55">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20</w:t>
            </w:r>
          </w:p>
        </w:tc>
        <w:tc>
          <w:tcPr>
            <w:tcW w:w="3792" w:type="dxa"/>
            <w:shd w:val="clear" w:color="auto" w:fill="auto"/>
            <w:tcMar>
              <w:top w:w="0" w:type="dxa"/>
              <w:left w:w="108" w:type="dxa"/>
              <w:bottom w:w="0" w:type="dxa"/>
              <w:right w:w="108" w:type="dxa"/>
            </w:tcMar>
            <w:vAlign w:val="center"/>
          </w:tcPr>
          <w:p w14:paraId="3A46BCEC">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发明专利申请1分/件，实用新型/外观设计专利0.5分/件。</w:t>
            </w:r>
          </w:p>
        </w:tc>
      </w:tr>
      <w:tr w14:paraId="7B867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tblCellSpacing w:w="0" w:type="dxa"/>
        </w:trPr>
        <w:tc>
          <w:tcPr>
            <w:tcW w:w="506" w:type="dxa"/>
            <w:vMerge w:val="continue"/>
            <w:shd w:val="clear" w:color="auto" w:fill="auto"/>
            <w:tcMar>
              <w:top w:w="0" w:type="dxa"/>
              <w:left w:w="108" w:type="dxa"/>
              <w:bottom w:w="0" w:type="dxa"/>
              <w:right w:w="108" w:type="dxa"/>
            </w:tcMar>
            <w:vAlign w:val="center"/>
          </w:tcPr>
          <w:p w14:paraId="7EA5D2D3">
            <w:pPr>
              <w:rPr>
                <w:rFonts w:hint="eastAsia" w:ascii="宋体"/>
                <w:sz w:val="24"/>
                <w:szCs w:val="24"/>
              </w:rPr>
            </w:pPr>
          </w:p>
        </w:tc>
        <w:tc>
          <w:tcPr>
            <w:tcW w:w="1183" w:type="dxa"/>
            <w:vMerge w:val="continue"/>
            <w:shd w:val="clear" w:color="auto" w:fill="auto"/>
            <w:tcMar>
              <w:top w:w="0" w:type="dxa"/>
              <w:left w:w="108" w:type="dxa"/>
              <w:bottom w:w="0" w:type="dxa"/>
              <w:right w:w="108" w:type="dxa"/>
            </w:tcMar>
            <w:vAlign w:val="center"/>
          </w:tcPr>
          <w:p w14:paraId="4EC695C2">
            <w:pPr>
              <w:rPr>
                <w:rFonts w:hint="eastAsia" w:ascii="宋体"/>
                <w:sz w:val="24"/>
                <w:szCs w:val="24"/>
              </w:rPr>
            </w:pPr>
          </w:p>
        </w:tc>
        <w:tc>
          <w:tcPr>
            <w:tcW w:w="1408" w:type="dxa"/>
            <w:vMerge w:val="continue"/>
            <w:shd w:val="clear" w:color="auto" w:fill="auto"/>
            <w:tcMar>
              <w:top w:w="0" w:type="dxa"/>
              <w:left w:w="108" w:type="dxa"/>
              <w:bottom w:w="0" w:type="dxa"/>
              <w:right w:w="108" w:type="dxa"/>
            </w:tcMar>
            <w:vAlign w:val="center"/>
          </w:tcPr>
          <w:p w14:paraId="75C61A28">
            <w:pPr>
              <w:rPr>
                <w:rFonts w:hint="eastAsia" w:ascii="宋体"/>
                <w:sz w:val="24"/>
                <w:szCs w:val="24"/>
              </w:rPr>
            </w:pPr>
          </w:p>
        </w:tc>
        <w:tc>
          <w:tcPr>
            <w:tcW w:w="1463" w:type="dxa"/>
            <w:shd w:val="clear" w:color="auto" w:fill="auto"/>
            <w:tcMar>
              <w:top w:w="0" w:type="dxa"/>
              <w:left w:w="108" w:type="dxa"/>
              <w:bottom w:w="0" w:type="dxa"/>
              <w:right w:w="108" w:type="dxa"/>
            </w:tcMar>
            <w:vAlign w:val="center"/>
          </w:tcPr>
          <w:p w14:paraId="229446FB">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预审合格率</w:t>
            </w:r>
          </w:p>
        </w:tc>
        <w:tc>
          <w:tcPr>
            <w:tcW w:w="5221" w:type="dxa"/>
            <w:shd w:val="clear" w:color="auto" w:fill="auto"/>
            <w:tcMar>
              <w:top w:w="0" w:type="dxa"/>
              <w:left w:w="108" w:type="dxa"/>
              <w:bottom w:w="0" w:type="dxa"/>
              <w:right w:w="108" w:type="dxa"/>
            </w:tcMar>
            <w:vAlign w:val="center"/>
          </w:tcPr>
          <w:p w14:paraId="7F190565">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评定年度内，专利预审申请合格率</w:t>
            </w:r>
            <w:r>
              <w:rPr>
                <w:rFonts w:hint="default" w:ascii="Times New Roman" w:hAnsi="Times New Roman" w:eastAsia="仿宋_GB2312" w:cs="Times New Roman"/>
                <w:kern w:val="0"/>
                <w:sz w:val="18"/>
                <w:szCs w:val="18"/>
                <w:lang w:val="en-US" w:eastAsia="zh-CN" w:bidi="ar"/>
              </w:rPr>
              <w:t>=</w:t>
            </w:r>
            <w:r>
              <w:rPr>
                <w:rFonts w:hint="eastAsia" w:ascii="仿宋_GB2312" w:hAnsi="宋体" w:eastAsia="仿宋_GB2312" w:cs="仿宋_GB2312"/>
                <w:kern w:val="0"/>
                <w:sz w:val="18"/>
                <w:szCs w:val="18"/>
                <w:lang w:val="en-US" w:eastAsia="zh-CN" w:bidi="ar"/>
              </w:rPr>
              <w:t>预审合格量</w:t>
            </w:r>
            <w:r>
              <w:rPr>
                <w:rFonts w:hint="default" w:ascii="Times New Roman" w:hAnsi="Times New Roman" w:eastAsia="仿宋_GB2312" w:cs="Times New Roman"/>
                <w:kern w:val="0"/>
                <w:sz w:val="18"/>
                <w:szCs w:val="18"/>
                <w:lang w:val="en-US" w:eastAsia="zh-CN" w:bidi="ar"/>
              </w:rPr>
              <w:t>/</w:t>
            </w:r>
            <w:r>
              <w:rPr>
                <w:rFonts w:hint="eastAsia" w:ascii="仿宋_GB2312" w:hAnsi="宋体" w:eastAsia="仿宋_GB2312" w:cs="仿宋_GB2312"/>
                <w:kern w:val="0"/>
                <w:sz w:val="18"/>
                <w:szCs w:val="18"/>
                <w:lang w:val="en-US" w:eastAsia="zh-CN" w:bidi="ar"/>
              </w:rPr>
              <w:t>预审受理量，以汕头保护中心预审管理平台数据为准。</w:t>
            </w:r>
          </w:p>
        </w:tc>
        <w:tc>
          <w:tcPr>
            <w:tcW w:w="600" w:type="dxa"/>
            <w:shd w:val="clear" w:color="auto" w:fill="auto"/>
            <w:tcMar>
              <w:top w:w="0" w:type="dxa"/>
              <w:left w:w="108" w:type="dxa"/>
              <w:bottom w:w="0" w:type="dxa"/>
              <w:right w:w="108" w:type="dxa"/>
            </w:tcMar>
            <w:vAlign w:val="center"/>
          </w:tcPr>
          <w:p w14:paraId="69AD5DE9">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5</w:t>
            </w:r>
          </w:p>
        </w:tc>
        <w:tc>
          <w:tcPr>
            <w:tcW w:w="3792" w:type="dxa"/>
            <w:shd w:val="clear" w:color="auto" w:fill="auto"/>
            <w:tcMar>
              <w:top w:w="0" w:type="dxa"/>
              <w:left w:w="108" w:type="dxa"/>
              <w:bottom w:w="0" w:type="dxa"/>
              <w:right w:w="108" w:type="dxa"/>
            </w:tcMar>
            <w:vAlign w:val="center"/>
          </w:tcPr>
          <w:p w14:paraId="7B3454C0">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预审申请量</w:t>
            </w:r>
            <w:r>
              <w:rPr>
                <w:rStyle w:val="6"/>
                <w:rFonts w:hint="eastAsia" w:ascii="仿宋_GB2312" w:hAnsi="宋体" w:eastAsia="仿宋_GB2312" w:cs="仿宋_GB2312"/>
                <w:kern w:val="0"/>
                <w:sz w:val="18"/>
                <w:szCs w:val="18"/>
                <w:lang w:val="en-US" w:eastAsia="zh-CN" w:bidi="ar"/>
              </w:rPr>
              <w:t>超过</w:t>
            </w:r>
            <w:r>
              <w:rPr>
                <w:rStyle w:val="6"/>
                <w:rFonts w:hint="default" w:ascii="Times New Roman" w:hAnsi="Times New Roman" w:eastAsia="仿宋_GB2312" w:cs="Times New Roman"/>
                <w:kern w:val="0"/>
                <w:sz w:val="18"/>
                <w:szCs w:val="18"/>
                <w:lang w:val="en-US" w:eastAsia="zh-CN" w:bidi="ar"/>
              </w:rPr>
              <w:t>20</w:t>
            </w:r>
            <w:r>
              <w:rPr>
                <w:rStyle w:val="6"/>
                <w:rFonts w:hint="eastAsia" w:ascii="仿宋_GB2312" w:hAnsi="宋体" w:eastAsia="仿宋_GB2312" w:cs="仿宋_GB2312"/>
                <w:kern w:val="0"/>
                <w:sz w:val="18"/>
                <w:szCs w:val="18"/>
                <w:lang w:val="en-US" w:eastAsia="zh-CN" w:bidi="ar"/>
              </w:rPr>
              <w:t>件</w:t>
            </w:r>
            <w:r>
              <w:rPr>
                <w:rFonts w:hint="eastAsia" w:ascii="仿宋_GB2312" w:hAnsi="宋体" w:eastAsia="仿宋_GB2312" w:cs="仿宋_GB2312"/>
                <w:kern w:val="0"/>
                <w:sz w:val="18"/>
                <w:szCs w:val="18"/>
                <w:lang w:val="en-US" w:eastAsia="zh-CN" w:bidi="ar"/>
              </w:rPr>
              <w:t>，合格率</w:t>
            </w:r>
            <w:r>
              <w:rPr>
                <w:rFonts w:hint="default" w:ascii="Times New Roman" w:hAnsi="Times New Roman" w:eastAsia="仿宋_GB2312" w:cs="Times New Roman"/>
                <w:kern w:val="0"/>
                <w:sz w:val="18"/>
                <w:szCs w:val="18"/>
                <w:lang w:val="en-US" w:eastAsia="zh-CN" w:bidi="ar"/>
              </w:rPr>
              <w:t>80%</w:t>
            </w:r>
            <w:r>
              <w:rPr>
                <w:rFonts w:hint="eastAsia" w:ascii="仿宋_GB2312" w:hAnsi="宋体" w:eastAsia="仿宋_GB2312" w:cs="仿宋_GB2312"/>
                <w:kern w:val="0"/>
                <w:sz w:val="18"/>
                <w:szCs w:val="18"/>
                <w:lang w:val="en-US" w:eastAsia="zh-CN" w:bidi="ar"/>
              </w:rPr>
              <w:t>以上的，加</w:t>
            </w:r>
            <w:r>
              <w:rPr>
                <w:rFonts w:hint="default" w:ascii="Times New Roman" w:hAnsi="Times New Roman" w:eastAsia="仿宋_GB2312" w:cs="Times New Roman"/>
                <w:kern w:val="0"/>
                <w:sz w:val="18"/>
                <w:szCs w:val="18"/>
                <w:lang w:val="en-US" w:eastAsia="zh-CN" w:bidi="ar"/>
              </w:rPr>
              <w:t>5</w:t>
            </w:r>
            <w:r>
              <w:rPr>
                <w:rFonts w:hint="eastAsia" w:ascii="仿宋_GB2312" w:hAnsi="宋体" w:eastAsia="仿宋_GB2312" w:cs="仿宋_GB2312"/>
                <w:kern w:val="0"/>
                <w:sz w:val="18"/>
                <w:szCs w:val="18"/>
                <w:lang w:val="en-US" w:eastAsia="zh-CN" w:bidi="ar"/>
              </w:rPr>
              <w:t>分；合格率不足</w:t>
            </w:r>
            <w:r>
              <w:rPr>
                <w:rFonts w:hint="default" w:ascii="Times New Roman" w:hAnsi="Times New Roman" w:eastAsia="仿宋_GB2312" w:cs="Times New Roman"/>
                <w:kern w:val="0"/>
                <w:sz w:val="18"/>
                <w:szCs w:val="18"/>
                <w:lang w:val="en-US" w:eastAsia="zh-CN" w:bidi="ar"/>
              </w:rPr>
              <w:t>80%</w:t>
            </w:r>
            <w:r>
              <w:rPr>
                <w:rFonts w:hint="eastAsia" w:ascii="仿宋_GB2312" w:hAnsi="宋体" w:eastAsia="仿宋_GB2312" w:cs="仿宋_GB2312"/>
                <w:kern w:val="0"/>
                <w:sz w:val="18"/>
                <w:szCs w:val="18"/>
                <w:lang w:val="en-US" w:eastAsia="zh-CN" w:bidi="ar"/>
              </w:rPr>
              <w:t>但超过</w:t>
            </w:r>
            <w:r>
              <w:rPr>
                <w:rFonts w:hint="default" w:ascii="Times New Roman" w:hAnsi="Times New Roman" w:eastAsia="仿宋_GB2312" w:cs="Times New Roman"/>
                <w:kern w:val="0"/>
                <w:sz w:val="18"/>
                <w:szCs w:val="18"/>
                <w:lang w:val="en-US" w:eastAsia="zh-CN" w:bidi="ar"/>
              </w:rPr>
              <w:t>70%</w:t>
            </w:r>
            <w:r>
              <w:rPr>
                <w:rFonts w:hint="eastAsia" w:ascii="仿宋_GB2312" w:hAnsi="宋体" w:eastAsia="仿宋_GB2312" w:cs="仿宋_GB2312"/>
                <w:kern w:val="0"/>
                <w:sz w:val="18"/>
                <w:szCs w:val="18"/>
                <w:lang w:val="en-US" w:eastAsia="zh-CN" w:bidi="ar"/>
              </w:rPr>
              <w:t>的，加</w:t>
            </w:r>
            <w:r>
              <w:rPr>
                <w:rFonts w:hint="default" w:ascii="Times New Roman" w:hAnsi="Times New Roman" w:eastAsia="仿宋_GB2312" w:cs="Times New Roman"/>
                <w:kern w:val="0"/>
                <w:sz w:val="18"/>
                <w:szCs w:val="18"/>
                <w:lang w:val="en-US" w:eastAsia="zh-CN" w:bidi="ar"/>
              </w:rPr>
              <w:t>3</w:t>
            </w:r>
            <w:r>
              <w:rPr>
                <w:rFonts w:hint="eastAsia" w:ascii="仿宋_GB2312" w:hAnsi="宋体" w:eastAsia="仿宋_GB2312" w:cs="仿宋_GB2312"/>
                <w:kern w:val="0"/>
                <w:sz w:val="18"/>
                <w:szCs w:val="18"/>
                <w:lang w:val="en-US" w:eastAsia="zh-CN" w:bidi="ar"/>
              </w:rPr>
              <w:t>分。预审申请量</w:t>
            </w:r>
            <w:r>
              <w:rPr>
                <w:rStyle w:val="6"/>
                <w:rFonts w:hint="eastAsia" w:ascii="仿宋_GB2312" w:hAnsi="宋体" w:eastAsia="仿宋_GB2312" w:cs="仿宋_GB2312"/>
                <w:kern w:val="0"/>
                <w:sz w:val="18"/>
                <w:szCs w:val="18"/>
                <w:lang w:val="en-US" w:eastAsia="zh-CN" w:bidi="ar"/>
              </w:rPr>
              <w:t>超过</w:t>
            </w:r>
            <w:r>
              <w:rPr>
                <w:rStyle w:val="6"/>
                <w:rFonts w:hint="default" w:ascii="Times New Roman" w:hAnsi="Times New Roman" w:eastAsia="仿宋_GB2312" w:cs="Times New Roman"/>
                <w:kern w:val="0"/>
                <w:sz w:val="18"/>
                <w:szCs w:val="18"/>
                <w:lang w:val="en-US" w:eastAsia="zh-CN" w:bidi="ar"/>
              </w:rPr>
              <w:t>10</w:t>
            </w:r>
            <w:r>
              <w:rPr>
                <w:rStyle w:val="6"/>
                <w:rFonts w:hint="eastAsia" w:ascii="仿宋_GB2312" w:hAnsi="宋体" w:eastAsia="仿宋_GB2312" w:cs="仿宋_GB2312"/>
                <w:kern w:val="0"/>
                <w:sz w:val="18"/>
                <w:szCs w:val="18"/>
                <w:lang w:val="en-US" w:eastAsia="zh-CN" w:bidi="ar"/>
              </w:rPr>
              <w:t>件但不足</w:t>
            </w:r>
            <w:r>
              <w:rPr>
                <w:rStyle w:val="6"/>
                <w:rFonts w:hint="default" w:ascii="Times New Roman" w:hAnsi="Times New Roman" w:eastAsia="仿宋_GB2312" w:cs="Times New Roman"/>
                <w:kern w:val="0"/>
                <w:sz w:val="18"/>
                <w:szCs w:val="18"/>
                <w:lang w:val="en-US" w:eastAsia="zh-CN" w:bidi="ar"/>
              </w:rPr>
              <w:t>20</w:t>
            </w:r>
            <w:r>
              <w:rPr>
                <w:rStyle w:val="6"/>
                <w:rFonts w:hint="eastAsia" w:ascii="仿宋_GB2312" w:hAnsi="宋体" w:eastAsia="仿宋_GB2312" w:cs="仿宋_GB2312"/>
                <w:kern w:val="0"/>
                <w:sz w:val="18"/>
                <w:szCs w:val="18"/>
                <w:lang w:val="en-US" w:eastAsia="zh-CN" w:bidi="ar"/>
              </w:rPr>
              <w:t>件</w:t>
            </w:r>
            <w:r>
              <w:rPr>
                <w:rFonts w:hint="eastAsia" w:ascii="仿宋_GB2312" w:hAnsi="宋体" w:eastAsia="仿宋_GB2312" w:cs="仿宋_GB2312"/>
                <w:kern w:val="0"/>
                <w:sz w:val="18"/>
                <w:szCs w:val="18"/>
                <w:lang w:val="en-US" w:eastAsia="zh-CN" w:bidi="ar"/>
              </w:rPr>
              <w:t>，合格率</w:t>
            </w:r>
            <w:r>
              <w:rPr>
                <w:rFonts w:hint="default" w:ascii="Times New Roman" w:hAnsi="Times New Roman" w:eastAsia="仿宋_GB2312" w:cs="Times New Roman"/>
                <w:kern w:val="0"/>
                <w:sz w:val="18"/>
                <w:szCs w:val="18"/>
                <w:lang w:val="en-US" w:eastAsia="zh-CN" w:bidi="ar"/>
              </w:rPr>
              <w:t>90%</w:t>
            </w:r>
            <w:r>
              <w:rPr>
                <w:rFonts w:hint="eastAsia" w:ascii="仿宋_GB2312" w:hAnsi="宋体" w:eastAsia="仿宋_GB2312" w:cs="仿宋_GB2312"/>
                <w:kern w:val="0"/>
                <w:sz w:val="18"/>
                <w:szCs w:val="18"/>
                <w:lang w:val="en-US" w:eastAsia="zh-CN" w:bidi="ar"/>
              </w:rPr>
              <w:t>以上的，加</w:t>
            </w:r>
            <w:r>
              <w:rPr>
                <w:rFonts w:hint="default" w:ascii="Times New Roman" w:hAnsi="Times New Roman" w:eastAsia="仿宋_GB2312" w:cs="Times New Roman"/>
                <w:kern w:val="0"/>
                <w:sz w:val="18"/>
                <w:szCs w:val="18"/>
                <w:lang w:val="en-US" w:eastAsia="zh-CN" w:bidi="ar"/>
              </w:rPr>
              <w:t>5</w:t>
            </w:r>
            <w:r>
              <w:rPr>
                <w:rFonts w:hint="eastAsia" w:ascii="仿宋_GB2312" w:hAnsi="宋体" w:eastAsia="仿宋_GB2312" w:cs="仿宋_GB2312"/>
                <w:kern w:val="0"/>
                <w:sz w:val="18"/>
                <w:szCs w:val="18"/>
                <w:lang w:val="en-US" w:eastAsia="zh-CN" w:bidi="ar"/>
              </w:rPr>
              <w:t>分；合格率不足</w:t>
            </w:r>
            <w:r>
              <w:rPr>
                <w:rFonts w:hint="default" w:ascii="Times New Roman" w:hAnsi="Times New Roman" w:eastAsia="仿宋_GB2312" w:cs="Times New Roman"/>
                <w:kern w:val="0"/>
                <w:sz w:val="18"/>
                <w:szCs w:val="18"/>
                <w:lang w:val="en-US" w:eastAsia="zh-CN" w:bidi="ar"/>
              </w:rPr>
              <w:t>90%</w:t>
            </w:r>
            <w:r>
              <w:rPr>
                <w:rFonts w:hint="eastAsia" w:ascii="仿宋_GB2312" w:hAnsi="宋体" w:eastAsia="仿宋_GB2312" w:cs="仿宋_GB2312"/>
                <w:kern w:val="0"/>
                <w:sz w:val="18"/>
                <w:szCs w:val="18"/>
                <w:lang w:val="en-US" w:eastAsia="zh-CN" w:bidi="ar"/>
              </w:rPr>
              <w:t>但超过</w:t>
            </w:r>
            <w:r>
              <w:rPr>
                <w:rFonts w:hint="default" w:ascii="Times New Roman" w:hAnsi="Times New Roman" w:eastAsia="仿宋_GB2312" w:cs="Times New Roman"/>
                <w:kern w:val="0"/>
                <w:sz w:val="18"/>
                <w:szCs w:val="18"/>
                <w:lang w:val="en-US" w:eastAsia="zh-CN" w:bidi="ar"/>
              </w:rPr>
              <w:t>80%</w:t>
            </w:r>
            <w:r>
              <w:rPr>
                <w:rFonts w:hint="eastAsia" w:ascii="仿宋_GB2312" w:hAnsi="宋体" w:eastAsia="仿宋_GB2312" w:cs="仿宋_GB2312"/>
                <w:kern w:val="0"/>
                <w:sz w:val="18"/>
                <w:szCs w:val="18"/>
                <w:lang w:val="en-US" w:eastAsia="zh-CN" w:bidi="ar"/>
              </w:rPr>
              <w:t>的，加</w:t>
            </w:r>
            <w:r>
              <w:rPr>
                <w:rFonts w:hint="default" w:ascii="Times New Roman" w:hAnsi="Times New Roman" w:eastAsia="仿宋_GB2312" w:cs="Times New Roman"/>
                <w:kern w:val="0"/>
                <w:sz w:val="18"/>
                <w:szCs w:val="18"/>
                <w:lang w:val="en-US" w:eastAsia="zh-CN" w:bidi="ar"/>
              </w:rPr>
              <w:t>3</w:t>
            </w:r>
            <w:r>
              <w:rPr>
                <w:rFonts w:hint="eastAsia" w:ascii="仿宋_GB2312" w:hAnsi="宋体" w:eastAsia="仿宋_GB2312" w:cs="仿宋_GB2312"/>
                <w:kern w:val="0"/>
                <w:sz w:val="18"/>
                <w:szCs w:val="18"/>
                <w:lang w:val="en-US" w:eastAsia="zh-CN" w:bidi="ar"/>
              </w:rPr>
              <w:t>分。预审申请量</w:t>
            </w:r>
            <w:r>
              <w:rPr>
                <w:rStyle w:val="6"/>
                <w:rFonts w:hint="eastAsia" w:ascii="仿宋_GB2312" w:hAnsi="宋体" w:eastAsia="仿宋_GB2312" w:cs="仿宋_GB2312"/>
                <w:kern w:val="0"/>
                <w:sz w:val="18"/>
                <w:szCs w:val="18"/>
                <w:lang w:val="en-US" w:eastAsia="zh-CN" w:bidi="ar"/>
              </w:rPr>
              <w:t>不足</w:t>
            </w:r>
            <w:r>
              <w:rPr>
                <w:rStyle w:val="6"/>
                <w:rFonts w:hint="default" w:ascii="Times New Roman" w:hAnsi="Times New Roman" w:eastAsia="仿宋_GB2312" w:cs="Times New Roman"/>
                <w:kern w:val="0"/>
                <w:sz w:val="18"/>
                <w:szCs w:val="18"/>
                <w:lang w:val="en-US" w:eastAsia="zh-CN" w:bidi="ar"/>
              </w:rPr>
              <w:t>10</w:t>
            </w:r>
            <w:r>
              <w:rPr>
                <w:rStyle w:val="6"/>
                <w:rFonts w:hint="eastAsia" w:ascii="仿宋_GB2312" w:hAnsi="宋体" w:eastAsia="仿宋_GB2312" w:cs="仿宋_GB2312"/>
                <w:kern w:val="0"/>
                <w:sz w:val="18"/>
                <w:szCs w:val="18"/>
                <w:lang w:val="en-US" w:eastAsia="zh-CN" w:bidi="ar"/>
              </w:rPr>
              <w:t>件</w:t>
            </w:r>
            <w:r>
              <w:rPr>
                <w:rFonts w:hint="eastAsia" w:ascii="仿宋_GB2312" w:hAnsi="宋体" w:eastAsia="仿宋_GB2312" w:cs="仿宋_GB2312"/>
                <w:kern w:val="0"/>
                <w:sz w:val="18"/>
                <w:szCs w:val="18"/>
                <w:lang w:val="en-US" w:eastAsia="zh-CN" w:bidi="ar"/>
              </w:rPr>
              <w:t>，合格率</w:t>
            </w:r>
            <w:r>
              <w:rPr>
                <w:rFonts w:hint="default" w:ascii="Times New Roman" w:hAnsi="Times New Roman" w:eastAsia="仿宋_GB2312" w:cs="Times New Roman"/>
                <w:kern w:val="0"/>
                <w:sz w:val="18"/>
                <w:szCs w:val="18"/>
                <w:lang w:val="en-US" w:eastAsia="zh-CN" w:bidi="ar"/>
              </w:rPr>
              <w:t>100%</w:t>
            </w:r>
            <w:r>
              <w:rPr>
                <w:rFonts w:hint="eastAsia" w:ascii="仿宋_GB2312" w:hAnsi="宋体" w:eastAsia="仿宋_GB2312" w:cs="仿宋_GB2312"/>
                <w:kern w:val="0"/>
                <w:sz w:val="18"/>
                <w:szCs w:val="18"/>
                <w:lang w:val="en-US" w:eastAsia="zh-CN" w:bidi="ar"/>
              </w:rPr>
              <w:t>的，加</w:t>
            </w:r>
            <w:r>
              <w:rPr>
                <w:rFonts w:hint="default" w:ascii="Times New Roman" w:hAnsi="Times New Roman" w:eastAsia="仿宋_GB2312" w:cs="Times New Roman"/>
                <w:kern w:val="0"/>
                <w:sz w:val="18"/>
                <w:szCs w:val="18"/>
                <w:lang w:val="en-US" w:eastAsia="zh-CN" w:bidi="ar"/>
              </w:rPr>
              <w:t>5</w:t>
            </w:r>
            <w:r>
              <w:rPr>
                <w:rFonts w:hint="eastAsia" w:ascii="仿宋_GB2312" w:hAnsi="宋体" w:eastAsia="仿宋_GB2312" w:cs="仿宋_GB2312"/>
                <w:kern w:val="0"/>
                <w:sz w:val="18"/>
                <w:szCs w:val="18"/>
                <w:lang w:val="en-US" w:eastAsia="zh-CN" w:bidi="ar"/>
              </w:rPr>
              <w:t>分；合格率不足</w:t>
            </w:r>
            <w:r>
              <w:rPr>
                <w:rFonts w:hint="default" w:ascii="Times New Roman" w:hAnsi="Times New Roman" w:eastAsia="仿宋_GB2312" w:cs="Times New Roman"/>
                <w:kern w:val="0"/>
                <w:sz w:val="18"/>
                <w:szCs w:val="18"/>
                <w:lang w:val="en-US" w:eastAsia="zh-CN" w:bidi="ar"/>
              </w:rPr>
              <w:t>100%</w:t>
            </w:r>
            <w:r>
              <w:rPr>
                <w:rFonts w:hint="eastAsia" w:ascii="仿宋_GB2312" w:hAnsi="宋体" w:eastAsia="仿宋_GB2312" w:cs="仿宋_GB2312"/>
                <w:kern w:val="0"/>
                <w:sz w:val="18"/>
                <w:szCs w:val="18"/>
                <w:lang w:val="en-US" w:eastAsia="zh-CN" w:bidi="ar"/>
              </w:rPr>
              <w:t>但超过</w:t>
            </w:r>
            <w:r>
              <w:rPr>
                <w:rFonts w:hint="default" w:ascii="Times New Roman" w:hAnsi="Times New Roman" w:eastAsia="仿宋_GB2312" w:cs="Times New Roman"/>
                <w:kern w:val="0"/>
                <w:sz w:val="18"/>
                <w:szCs w:val="18"/>
                <w:lang w:val="en-US" w:eastAsia="zh-CN" w:bidi="ar"/>
              </w:rPr>
              <w:t>90%</w:t>
            </w:r>
            <w:r>
              <w:rPr>
                <w:rFonts w:hint="eastAsia" w:ascii="仿宋_GB2312" w:hAnsi="宋体" w:eastAsia="仿宋_GB2312" w:cs="仿宋_GB2312"/>
                <w:kern w:val="0"/>
                <w:sz w:val="18"/>
                <w:szCs w:val="18"/>
                <w:lang w:val="en-US" w:eastAsia="zh-CN" w:bidi="ar"/>
              </w:rPr>
              <w:t>的，加</w:t>
            </w:r>
            <w:r>
              <w:rPr>
                <w:rFonts w:hint="default" w:ascii="Times New Roman" w:hAnsi="Times New Roman" w:eastAsia="仿宋_GB2312" w:cs="Times New Roman"/>
                <w:kern w:val="0"/>
                <w:sz w:val="18"/>
                <w:szCs w:val="18"/>
                <w:lang w:val="en-US" w:eastAsia="zh-CN" w:bidi="ar"/>
              </w:rPr>
              <w:t>3</w:t>
            </w:r>
            <w:r>
              <w:rPr>
                <w:rFonts w:hint="eastAsia" w:ascii="仿宋_GB2312" w:hAnsi="宋体" w:eastAsia="仿宋_GB2312" w:cs="仿宋_GB2312"/>
                <w:kern w:val="0"/>
                <w:sz w:val="18"/>
                <w:szCs w:val="18"/>
                <w:lang w:val="en-US" w:eastAsia="zh-CN" w:bidi="ar"/>
              </w:rPr>
              <w:t>分。</w:t>
            </w:r>
          </w:p>
        </w:tc>
      </w:tr>
      <w:tr w14:paraId="67C45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tblCellSpacing w:w="0" w:type="dxa"/>
        </w:trPr>
        <w:tc>
          <w:tcPr>
            <w:tcW w:w="506" w:type="dxa"/>
            <w:vMerge w:val="continue"/>
            <w:shd w:val="clear" w:color="auto" w:fill="auto"/>
            <w:tcMar>
              <w:top w:w="0" w:type="dxa"/>
              <w:left w:w="108" w:type="dxa"/>
              <w:bottom w:w="0" w:type="dxa"/>
              <w:right w:w="108" w:type="dxa"/>
            </w:tcMar>
            <w:vAlign w:val="center"/>
          </w:tcPr>
          <w:p w14:paraId="281456DD">
            <w:pPr>
              <w:rPr>
                <w:rFonts w:hint="eastAsia" w:ascii="宋体"/>
                <w:sz w:val="24"/>
                <w:szCs w:val="24"/>
              </w:rPr>
            </w:pPr>
          </w:p>
        </w:tc>
        <w:tc>
          <w:tcPr>
            <w:tcW w:w="1183" w:type="dxa"/>
            <w:vMerge w:val="continue"/>
            <w:shd w:val="clear" w:color="auto" w:fill="auto"/>
            <w:tcMar>
              <w:top w:w="0" w:type="dxa"/>
              <w:left w:w="108" w:type="dxa"/>
              <w:bottom w:w="0" w:type="dxa"/>
              <w:right w:w="108" w:type="dxa"/>
            </w:tcMar>
            <w:vAlign w:val="center"/>
          </w:tcPr>
          <w:p w14:paraId="1D23985D">
            <w:pPr>
              <w:rPr>
                <w:rFonts w:hint="eastAsia" w:ascii="宋体"/>
                <w:sz w:val="24"/>
                <w:szCs w:val="24"/>
              </w:rPr>
            </w:pPr>
          </w:p>
        </w:tc>
        <w:tc>
          <w:tcPr>
            <w:tcW w:w="1408" w:type="dxa"/>
            <w:vMerge w:val="continue"/>
            <w:shd w:val="clear" w:color="auto" w:fill="auto"/>
            <w:tcMar>
              <w:top w:w="0" w:type="dxa"/>
              <w:left w:w="108" w:type="dxa"/>
              <w:bottom w:w="0" w:type="dxa"/>
              <w:right w:w="108" w:type="dxa"/>
            </w:tcMar>
            <w:vAlign w:val="center"/>
          </w:tcPr>
          <w:p w14:paraId="4D31E18F">
            <w:pPr>
              <w:rPr>
                <w:rFonts w:hint="eastAsia" w:ascii="宋体"/>
                <w:sz w:val="24"/>
                <w:szCs w:val="24"/>
              </w:rPr>
            </w:pPr>
          </w:p>
        </w:tc>
        <w:tc>
          <w:tcPr>
            <w:tcW w:w="1463" w:type="dxa"/>
            <w:shd w:val="clear" w:color="auto" w:fill="auto"/>
            <w:tcMar>
              <w:top w:w="0" w:type="dxa"/>
              <w:left w:w="108" w:type="dxa"/>
              <w:bottom w:w="0" w:type="dxa"/>
              <w:right w:w="108" w:type="dxa"/>
            </w:tcMar>
            <w:vAlign w:val="center"/>
          </w:tcPr>
          <w:p w14:paraId="05FA4A49">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发明专利授权率</w:t>
            </w:r>
          </w:p>
        </w:tc>
        <w:tc>
          <w:tcPr>
            <w:tcW w:w="5221" w:type="dxa"/>
            <w:shd w:val="clear" w:color="auto" w:fill="auto"/>
            <w:tcMar>
              <w:top w:w="0" w:type="dxa"/>
              <w:left w:w="108" w:type="dxa"/>
              <w:bottom w:w="0" w:type="dxa"/>
              <w:right w:w="108" w:type="dxa"/>
            </w:tcMar>
            <w:vAlign w:val="center"/>
          </w:tcPr>
          <w:p w14:paraId="24ACE784">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评定年度内，发明专利预审申请授权率</w:t>
            </w:r>
            <w:r>
              <w:rPr>
                <w:rFonts w:hint="default" w:ascii="Times New Roman" w:hAnsi="Times New Roman" w:eastAsia="仿宋_GB2312" w:cs="Times New Roman"/>
                <w:kern w:val="0"/>
                <w:sz w:val="18"/>
                <w:szCs w:val="18"/>
                <w:lang w:val="en-US" w:eastAsia="zh-CN" w:bidi="ar"/>
              </w:rPr>
              <w:t>=I</w:t>
            </w:r>
            <w:r>
              <w:rPr>
                <w:rFonts w:hint="eastAsia" w:ascii="仿宋_GB2312" w:hAnsi="宋体" w:eastAsia="仿宋_GB2312" w:cs="仿宋_GB2312"/>
                <w:kern w:val="0"/>
                <w:sz w:val="18"/>
                <w:szCs w:val="18"/>
                <w:lang w:val="en-US" w:eastAsia="zh-CN" w:bidi="ar"/>
              </w:rPr>
              <w:t>系统发明专利授权量</w:t>
            </w:r>
            <w:r>
              <w:rPr>
                <w:rFonts w:hint="default" w:ascii="Times New Roman" w:hAnsi="Times New Roman" w:eastAsia="仿宋_GB2312" w:cs="Times New Roman"/>
                <w:kern w:val="0"/>
                <w:sz w:val="18"/>
                <w:szCs w:val="18"/>
                <w:lang w:val="en-US" w:eastAsia="zh-CN" w:bidi="ar"/>
              </w:rPr>
              <w:t>/I</w:t>
            </w:r>
            <w:r>
              <w:rPr>
                <w:rFonts w:hint="eastAsia" w:ascii="仿宋_GB2312" w:hAnsi="宋体" w:eastAsia="仿宋_GB2312" w:cs="仿宋_GB2312"/>
                <w:kern w:val="0"/>
                <w:sz w:val="18"/>
                <w:szCs w:val="18"/>
                <w:lang w:val="en-US" w:eastAsia="zh-CN" w:bidi="ar"/>
              </w:rPr>
              <w:t>系统的发明专利打标量，以汕头保护中心</w:t>
            </w:r>
            <w:r>
              <w:rPr>
                <w:rFonts w:hint="default" w:ascii="Times New Roman" w:hAnsi="Times New Roman" w:eastAsia="仿宋_GB2312" w:cs="Times New Roman"/>
                <w:kern w:val="0"/>
                <w:sz w:val="18"/>
                <w:szCs w:val="18"/>
                <w:lang w:val="en-US" w:eastAsia="zh-CN" w:bidi="ar"/>
              </w:rPr>
              <w:t>I</w:t>
            </w:r>
            <w:r>
              <w:rPr>
                <w:rFonts w:hint="eastAsia" w:ascii="仿宋_GB2312" w:hAnsi="宋体" w:eastAsia="仿宋_GB2312" w:cs="仿宋_GB2312"/>
                <w:kern w:val="0"/>
                <w:sz w:val="18"/>
                <w:szCs w:val="18"/>
                <w:lang w:val="en-US" w:eastAsia="zh-CN" w:bidi="ar"/>
              </w:rPr>
              <w:t>系统数据为准。</w:t>
            </w:r>
          </w:p>
        </w:tc>
        <w:tc>
          <w:tcPr>
            <w:tcW w:w="600" w:type="dxa"/>
            <w:shd w:val="clear" w:color="auto" w:fill="auto"/>
            <w:tcMar>
              <w:top w:w="0" w:type="dxa"/>
              <w:left w:w="108" w:type="dxa"/>
              <w:bottom w:w="0" w:type="dxa"/>
              <w:right w:w="108" w:type="dxa"/>
            </w:tcMar>
            <w:vAlign w:val="center"/>
          </w:tcPr>
          <w:p w14:paraId="2FA1DE67">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5</w:t>
            </w:r>
          </w:p>
        </w:tc>
        <w:tc>
          <w:tcPr>
            <w:tcW w:w="3792" w:type="dxa"/>
            <w:shd w:val="clear" w:color="auto" w:fill="auto"/>
            <w:tcMar>
              <w:top w:w="0" w:type="dxa"/>
              <w:left w:w="108" w:type="dxa"/>
              <w:bottom w:w="0" w:type="dxa"/>
              <w:right w:w="108" w:type="dxa"/>
            </w:tcMar>
            <w:vAlign w:val="center"/>
          </w:tcPr>
          <w:p w14:paraId="377BC0C7">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发明专利打标量</w:t>
            </w:r>
            <w:r>
              <w:rPr>
                <w:rStyle w:val="6"/>
                <w:rFonts w:hint="eastAsia" w:ascii="仿宋_GB2312" w:hAnsi="宋体" w:eastAsia="仿宋_GB2312" w:cs="仿宋_GB2312"/>
                <w:kern w:val="0"/>
                <w:sz w:val="18"/>
                <w:szCs w:val="18"/>
                <w:lang w:val="en-US" w:eastAsia="zh-CN" w:bidi="ar"/>
              </w:rPr>
              <w:t>超过</w:t>
            </w:r>
            <w:r>
              <w:rPr>
                <w:rStyle w:val="6"/>
                <w:rFonts w:hint="eastAsia" w:ascii="Times New Roman" w:hAnsi="Times New Roman" w:eastAsia="仿宋_GB2312" w:cs="Times New Roman"/>
                <w:kern w:val="0"/>
                <w:sz w:val="18"/>
                <w:szCs w:val="18"/>
                <w:lang w:val="en-US" w:eastAsia="zh-CN" w:bidi="ar"/>
              </w:rPr>
              <w:t>1</w:t>
            </w:r>
            <w:r>
              <w:rPr>
                <w:rStyle w:val="6"/>
                <w:rFonts w:hint="default" w:ascii="Times New Roman" w:hAnsi="Times New Roman" w:eastAsia="仿宋_GB2312" w:cs="Times New Roman"/>
                <w:kern w:val="0"/>
                <w:sz w:val="18"/>
                <w:szCs w:val="18"/>
                <w:lang w:val="en-US" w:eastAsia="zh-CN" w:bidi="ar"/>
              </w:rPr>
              <w:t>0</w:t>
            </w:r>
            <w:r>
              <w:rPr>
                <w:rStyle w:val="6"/>
                <w:rFonts w:hint="eastAsia" w:ascii="仿宋_GB2312" w:hAnsi="宋体" w:eastAsia="仿宋_GB2312" w:cs="仿宋_GB2312"/>
                <w:kern w:val="0"/>
                <w:sz w:val="18"/>
                <w:szCs w:val="18"/>
                <w:lang w:val="en-US" w:eastAsia="zh-CN" w:bidi="ar"/>
              </w:rPr>
              <w:t>件</w:t>
            </w:r>
            <w:r>
              <w:rPr>
                <w:rFonts w:hint="eastAsia" w:ascii="仿宋_GB2312" w:hAnsi="宋体" w:eastAsia="仿宋_GB2312" w:cs="仿宋_GB2312"/>
                <w:kern w:val="0"/>
                <w:sz w:val="18"/>
                <w:szCs w:val="18"/>
                <w:lang w:val="en-US" w:eastAsia="zh-CN" w:bidi="ar"/>
              </w:rPr>
              <w:t>，授权率超过</w:t>
            </w:r>
            <w:r>
              <w:rPr>
                <w:rFonts w:hint="default" w:ascii="Times New Roman" w:hAnsi="Times New Roman" w:eastAsia="仿宋_GB2312" w:cs="Times New Roman"/>
                <w:kern w:val="0"/>
                <w:sz w:val="18"/>
                <w:szCs w:val="18"/>
                <w:lang w:val="en-US" w:eastAsia="zh-CN" w:bidi="ar"/>
              </w:rPr>
              <w:t>95%</w:t>
            </w:r>
            <w:r>
              <w:rPr>
                <w:rFonts w:hint="eastAsia" w:ascii="仿宋_GB2312" w:hAnsi="宋体" w:eastAsia="仿宋_GB2312" w:cs="仿宋_GB2312"/>
                <w:kern w:val="0"/>
                <w:sz w:val="18"/>
                <w:szCs w:val="18"/>
                <w:lang w:val="en-US" w:eastAsia="zh-CN" w:bidi="ar"/>
              </w:rPr>
              <w:t>的，加</w:t>
            </w:r>
            <w:r>
              <w:rPr>
                <w:rFonts w:hint="default" w:ascii="Times New Roman" w:hAnsi="Times New Roman" w:eastAsia="仿宋_GB2312" w:cs="Times New Roman"/>
                <w:kern w:val="0"/>
                <w:sz w:val="18"/>
                <w:szCs w:val="18"/>
                <w:lang w:val="en-US" w:eastAsia="zh-CN" w:bidi="ar"/>
              </w:rPr>
              <w:t>5</w:t>
            </w:r>
            <w:r>
              <w:rPr>
                <w:rFonts w:hint="eastAsia" w:ascii="仿宋_GB2312" w:hAnsi="宋体" w:eastAsia="仿宋_GB2312" w:cs="仿宋_GB2312"/>
                <w:kern w:val="0"/>
                <w:sz w:val="18"/>
                <w:szCs w:val="18"/>
                <w:lang w:val="en-US" w:eastAsia="zh-CN" w:bidi="ar"/>
              </w:rPr>
              <w:t>分；授权率不足</w:t>
            </w:r>
            <w:r>
              <w:rPr>
                <w:rFonts w:hint="default" w:ascii="Times New Roman" w:hAnsi="Times New Roman" w:eastAsia="仿宋_GB2312" w:cs="Times New Roman"/>
                <w:kern w:val="0"/>
                <w:sz w:val="18"/>
                <w:szCs w:val="18"/>
                <w:lang w:val="en-US" w:eastAsia="zh-CN" w:bidi="ar"/>
              </w:rPr>
              <w:t>95%</w:t>
            </w:r>
            <w:r>
              <w:rPr>
                <w:rFonts w:hint="eastAsia" w:ascii="仿宋_GB2312" w:hAnsi="宋体" w:eastAsia="仿宋_GB2312" w:cs="仿宋_GB2312"/>
                <w:kern w:val="0"/>
                <w:sz w:val="18"/>
                <w:szCs w:val="18"/>
                <w:lang w:val="en-US" w:eastAsia="zh-CN" w:bidi="ar"/>
              </w:rPr>
              <w:t>但超过</w:t>
            </w:r>
            <w:r>
              <w:rPr>
                <w:rFonts w:hint="default" w:ascii="Times New Roman" w:hAnsi="Times New Roman" w:eastAsia="仿宋_GB2312" w:cs="Times New Roman"/>
                <w:kern w:val="0"/>
                <w:sz w:val="18"/>
                <w:szCs w:val="18"/>
                <w:lang w:val="en-US" w:eastAsia="zh-CN" w:bidi="ar"/>
              </w:rPr>
              <w:t>85%</w:t>
            </w:r>
            <w:r>
              <w:rPr>
                <w:rFonts w:hint="eastAsia" w:ascii="仿宋_GB2312" w:hAnsi="宋体" w:eastAsia="仿宋_GB2312" w:cs="仿宋_GB2312"/>
                <w:kern w:val="0"/>
                <w:sz w:val="18"/>
                <w:szCs w:val="18"/>
                <w:lang w:val="en-US" w:eastAsia="zh-CN" w:bidi="ar"/>
              </w:rPr>
              <w:t>的，加</w:t>
            </w:r>
            <w:r>
              <w:rPr>
                <w:rFonts w:hint="default" w:ascii="Times New Roman" w:hAnsi="Times New Roman" w:eastAsia="仿宋_GB2312" w:cs="Times New Roman"/>
                <w:kern w:val="0"/>
                <w:sz w:val="18"/>
                <w:szCs w:val="18"/>
                <w:lang w:val="en-US" w:eastAsia="zh-CN" w:bidi="ar"/>
              </w:rPr>
              <w:t>3</w:t>
            </w:r>
            <w:r>
              <w:rPr>
                <w:rFonts w:hint="eastAsia" w:ascii="仿宋_GB2312" w:hAnsi="宋体" w:eastAsia="仿宋_GB2312" w:cs="仿宋_GB2312"/>
                <w:kern w:val="0"/>
                <w:sz w:val="18"/>
                <w:szCs w:val="18"/>
                <w:lang w:val="en-US" w:eastAsia="zh-CN" w:bidi="ar"/>
              </w:rPr>
              <w:t>分；发明专利打标量</w:t>
            </w:r>
            <w:r>
              <w:rPr>
                <w:rStyle w:val="6"/>
                <w:rFonts w:hint="eastAsia" w:ascii="仿宋_GB2312" w:hAnsi="宋体" w:eastAsia="仿宋_GB2312" w:cs="仿宋_GB2312"/>
                <w:kern w:val="0"/>
                <w:sz w:val="18"/>
                <w:szCs w:val="18"/>
                <w:lang w:val="en-US" w:eastAsia="zh-CN" w:bidi="ar"/>
              </w:rPr>
              <w:t>不足</w:t>
            </w:r>
            <w:r>
              <w:rPr>
                <w:rStyle w:val="6"/>
                <w:rFonts w:hint="eastAsia" w:ascii="Times New Roman" w:hAnsi="Times New Roman" w:eastAsia="仿宋_GB2312" w:cs="Times New Roman"/>
                <w:kern w:val="0"/>
                <w:sz w:val="18"/>
                <w:szCs w:val="18"/>
                <w:lang w:val="en-US" w:eastAsia="zh-CN" w:bidi="ar"/>
              </w:rPr>
              <w:t>1</w:t>
            </w:r>
            <w:r>
              <w:rPr>
                <w:rStyle w:val="6"/>
                <w:rFonts w:hint="default" w:ascii="Times New Roman" w:hAnsi="Times New Roman" w:eastAsia="仿宋_GB2312" w:cs="Times New Roman"/>
                <w:kern w:val="0"/>
                <w:sz w:val="18"/>
                <w:szCs w:val="18"/>
                <w:lang w:val="en-US" w:eastAsia="zh-CN" w:bidi="ar"/>
              </w:rPr>
              <w:t>0</w:t>
            </w:r>
            <w:r>
              <w:rPr>
                <w:rStyle w:val="6"/>
                <w:rFonts w:hint="eastAsia" w:ascii="仿宋_GB2312" w:hAnsi="宋体" w:eastAsia="仿宋_GB2312" w:cs="仿宋_GB2312"/>
                <w:kern w:val="0"/>
                <w:sz w:val="18"/>
                <w:szCs w:val="18"/>
                <w:lang w:val="en-US" w:eastAsia="zh-CN" w:bidi="ar"/>
              </w:rPr>
              <w:t>件</w:t>
            </w:r>
            <w:r>
              <w:rPr>
                <w:rFonts w:hint="eastAsia" w:ascii="仿宋_GB2312" w:hAnsi="宋体" w:eastAsia="仿宋_GB2312" w:cs="仿宋_GB2312"/>
                <w:kern w:val="0"/>
                <w:sz w:val="18"/>
                <w:szCs w:val="18"/>
                <w:lang w:val="en-US" w:eastAsia="zh-CN" w:bidi="ar"/>
              </w:rPr>
              <w:t>，授权率超过</w:t>
            </w:r>
            <w:r>
              <w:rPr>
                <w:rFonts w:hint="default" w:ascii="Times New Roman" w:hAnsi="Times New Roman" w:eastAsia="仿宋_GB2312" w:cs="Times New Roman"/>
                <w:kern w:val="0"/>
                <w:sz w:val="18"/>
                <w:szCs w:val="18"/>
                <w:lang w:val="en-US" w:eastAsia="zh-CN" w:bidi="ar"/>
              </w:rPr>
              <w:t>90%</w:t>
            </w:r>
            <w:r>
              <w:rPr>
                <w:rFonts w:hint="eastAsia" w:ascii="仿宋_GB2312" w:hAnsi="宋体" w:eastAsia="仿宋_GB2312" w:cs="仿宋_GB2312"/>
                <w:kern w:val="0"/>
                <w:sz w:val="18"/>
                <w:szCs w:val="18"/>
                <w:lang w:val="en-US" w:eastAsia="zh-CN" w:bidi="ar"/>
              </w:rPr>
              <w:t>的，加</w:t>
            </w:r>
            <w:r>
              <w:rPr>
                <w:rFonts w:hint="default" w:ascii="Times New Roman" w:hAnsi="Times New Roman" w:eastAsia="仿宋_GB2312" w:cs="Times New Roman"/>
                <w:kern w:val="0"/>
                <w:sz w:val="18"/>
                <w:szCs w:val="18"/>
                <w:lang w:val="en-US" w:eastAsia="zh-CN" w:bidi="ar"/>
              </w:rPr>
              <w:t>3</w:t>
            </w:r>
            <w:r>
              <w:rPr>
                <w:rFonts w:hint="eastAsia" w:ascii="仿宋_GB2312" w:hAnsi="宋体" w:eastAsia="仿宋_GB2312" w:cs="仿宋_GB2312"/>
                <w:kern w:val="0"/>
                <w:sz w:val="18"/>
                <w:szCs w:val="18"/>
                <w:lang w:val="en-US" w:eastAsia="zh-CN" w:bidi="ar"/>
              </w:rPr>
              <w:t>分；发明专利打标量</w:t>
            </w:r>
            <w:r>
              <w:rPr>
                <w:rFonts w:hint="eastAsia" w:ascii="仿宋_GB2312" w:hAnsi="宋体" w:eastAsia="仿宋_GB2312" w:cs="仿宋_GB2312"/>
                <w:b/>
                <w:bCs/>
                <w:kern w:val="0"/>
                <w:sz w:val="18"/>
                <w:szCs w:val="18"/>
                <w:lang w:val="en-US" w:eastAsia="zh-CN" w:bidi="ar"/>
              </w:rPr>
              <w:t>不足5件</w:t>
            </w:r>
            <w:r>
              <w:rPr>
                <w:rFonts w:hint="eastAsia" w:ascii="仿宋_GB2312" w:hAnsi="宋体" w:eastAsia="仿宋_GB2312" w:cs="仿宋_GB2312"/>
                <w:kern w:val="0"/>
                <w:sz w:val="18"/>
                <w:szCs w:val="18"/>
                <w:lang w:val="en-US" w:eastAsia="zh-CN" w:bidi="ar"/>
              </w:rPr>
              <w:t>，不得分。</w:t>
            </w:r>
          </w:p>
        </w:tc>
      </w:tr>
      <w:tr w14:paraId="1A122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519" w:hRule="atLeast"/>
          <w:tblCellSpacing w:w="0" w:type="dxa"/>
        </w:trPr>
        <w:tc>
          <w:tcPr>
            <w:tcW w:w="506" w:type="dxa"/>
            <w:vMerge w:val="continue"/>
            <w:shd w:val="clear" w:color="auto" w:fill="auto"/>
            <w:tcMar>
              <w:top w:w="0" w:type="dxa"/>
              <w:left w:w="108" w:type="dxa"/>
              <w:bottom w:w="0" w:type="dxa"/>
              <w:right w:w="108" w:type="dxa"/>
            </w:tcMar>
            <w:vAlign w:val="center"/>
          </w:tcPr>
          <w:p w14:paraId="3E2CCBAD">
            <w:pPr>
              <w:rPr>
                <w:rFonts w:hint="eastAsia" w:ascii="宋体"/>
                <w:sz w:val="24"/>
                <w:szCs w:val="24"/>
              </w:rPr>
            </w:pPr>
          </w:p>
        </w:tc>
        <w:tc>
          <w:tcPr>
            <w:tcW w:w="1183" w:type="dxa"/>
            <w:vMerge w:val="continue"/>
            <w:shd w:val="clear" w:color="auto" w:fill="auto"/>
            <w:tcMar>
              <w:top w:w="0" w:type="dxa"/>
              <w:left w:w="108" w:type="dxa"/>
              <w:bottom w:w="0" w:type="dxa"/>
              <w:right w:w="108" w:type="dxa"/>
            </w:tcMar>
            <w:vAlign w:val="center"/>
          </w:tcPr>
          <w:p w14:paraId="27E4B38A">
            <w:pPr>
              <w:rPr>
                <w:rFonts w:hint="eastAsia" w:ascii="宋体"/>
                <w:sz w:val="24"/>
                <w:szCs w:val="24"/>
              </w:rPr>
            </w:pPr>
          </w:p>
        </w:tc>
        <w:tc>
          <w:tcPr>
            <w:tcW w:w="1408" w:type="dxa"/>
            <w:vMerge w:val="continue"/>
            <w:shd w:val="clear" w:color="auto" w:fill="auto"/>
            <w:tcMar>
              <w:top w:w="0" w:type="dxa"/>
              <w:left w:w="108" w:type="dxa"/>
              <w:bottom w:w="0" w:type="dxa"/>
              <w:right w:w="108" w:type="dxa"/>
            </w:tcMar>
            <w:vAlign w:val="center"/>
          </w:tcPr>
          <w:p w14:paraId="2F642D3F">
            <w:pPr>
              <w:rPr>
                <w:rFonts w:hint="eastAsia" w:ascii="宋体"/>
                <w:sz w:val="24"/>
                <w:szCs w:val="24"/>
              </w:rPr>
            </w:pPr>
          </w:p>
        </w:tc>
        <w:tc>
          <w:tcPr>
            <w:tcW w:w="1463" w:type="dxa"/>
            <w:shd w:val="clear" w:color="auto" w:fill="auto"/>
            <w:tcMar>
              <w:top w:w="0" w:type="dxa"/>
              <w:left w:w="108" w:type="dxa"/>
              <w:bottom w:w="0" w:type="dxa"/>
              <w:right w:w="108" w:type="dxa"/>
            </w:tcMar>
            <w:vAlign w:val="center"/>
          </w:tcPr>
          <w:p w14:paraId="5CAC9845">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发明专利预审授权后维持情况</w:t>
            </w:r>
          </w:p>
        </w:tc>
        <w:tc>
          <w:tcPr>
            <w:tcW w:w="5221" w:type="dxa"/>
            <w:shd w:val="clear" w:color="auto" w:fill="auto"/>
            <w:tcMar>
              <w:top w:w="0" w:type="dxa"/>
              <w:left w:w="108" w:type="dxa"/>
              <w:bottom w:w="0" w:type="dxa"/>
              <w:right w:w="108" w:type="dxa"/>
            </w:tcMar>
            <w:vAlign w:val="center"/>
          </w:tcPr>
          <w:p w14:paraId="6A788FD5">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经过预审后授权的发明专利维持</w:t>
            </w:r>
            <w:r>
              <w:rPr>
                <w:rFonts w:hint="default" w:ascii="Times New Roman" w:hAnsi="Times New Roman" w:eastAsia="仿宋_GB2312" w:cs="Times New Roman"/>
                <w:kern w:val="0"/>
                <w:sz w:val="18"/>
                <w:szCs w:val="18"/>
                <w:lang w:val="en-US" w:eastAsia="zh-CN" w:bidi="ar"/>
              </w:rPr>
              <w:t>2</w:t>
            </w:r>
            <w:r>
              <w:rPr>
                <w:rFonts w:hint="eastAsia" w:ascii="仿宋_GB2312" w:hAnsi="宋体" w:eastAsia="仿宋_GB2312" w:cs="仿宋_GB2312"/>
                <w:kern w:val="0"/>
                <w:sz w:val="18"/>
                <w:szCs w:val="18"/>
                <w:lang w:val="en-US" w:eastAsia="zh-CN" w:bidi="ar"/>
              </w:rPr>
              <w:t>年及以上比例：比例</w:t>
            </w:r>
            <w:r>
              <w:rPr>
                <w:rFonts w:hint="default" w:ascii="Times New Roman" w:hAnsi="Times New Roman" w:eastAsia="仿宋_GB2312" w:cs="Times New Roman"/>
                <w:kern w:val="0"/>
                <w:sz w:val="18"/>
                <w:szCs w:val="18"/>
                <w:lang w:val="en-US" w:eastAsia="zh-CN" w:bidi="ar"/>
              </w:rPr>
              <w:t>=</w:t>
            </w:r>
            <w:r>
              <w:rPr>
                <w:rFonts w:hint="eastAsia" w:ascii="仿宋_GB2312" w:hAnsi="宋体" w:eastAsia="仿宋_GB2312" w:cs="仿宋_GB2312"/>
                <w:kern w:val="0"/>
                <w:sz w:val="18"/>
                <w:szCs w:val="18"/>
                <w:lang w:val="en-US" w:eastAsia="zh-CN" w:bidi="ar"/>
              </w:rPr>
              <w:t>维持年限</w:t>
            </w:r>
            <w:r>
              <w:rPr>
                <w:rFonts w:hint="default" w:ascii="Times New Roman" w:hAnsi="Times New Roman" w:eastAsia="仿宋_GB2312" w:cs="Times New Roman"/>
                <w:kern w:val="0"/>
                <w:sz w:val="18"/>
                <w:szCs w:val="18"/>
                <w:lang w:val="en-US" w:eastAsia="zh-CN" w:bidi="ar"/>
              </w:rPr>
              <w:t>2</w:t>
            </w:r>
            <w:r>
              <w:rPr>
                <w:rFonts w:hint="eastAsia" w:ascii="仿宋_GB2312" w:hAnsi="宋体" w:eastAsia="仿宋_GB2312" w:cs="仿宋_GB2312"/>
                <w:kern w:val="0"/>
                <w:sz w:val="18"/>
                <w:szCs w:val="18"/>
                <w:lang w:val="en-US" w:eastAsia="zh-CN" w:bidi="ar"/>
              </w:rPr>
              <w:t>年及以上案件数量</w:t>
            </w:r>
            <w:r>
              <w:rPr>
                <w:rFonts w:hint="default" w:ascii="Times New Roman" w:hAnsi="Times New Roman" w:eastAsia="仿宋_GB2312" w:cs="Times New Roman"/>
                <w:kern w:val="0"/>
                <w:sz w:val="18"/>
                <w:szCs w:val="18"/>
                <w:lang w:val="en-US" w:eastAsia="zh-CN" w:bidi="ar"/>
              </w:rPr>
              <w:t>/</w:t>
            </w:r>
            <w:r>
              <w:rPr>
                <w:rFonts w:hint="eastAsia" w:ascii="仿宋_GB2312" w:hAnsi="宋体" w:eastAsia="仿宋_GB2312" w:cs="仿宋_GB2312"/>
                <w:kern w:val="0"/>
                <w:sz w:val="18"/>
                <w:szCs w:val="18"/>
                <w:lang w:val="en-US" w:eastAsia="zh-CN" w:bidi="ar"/>
              </w:rPr>
              <w:t>评定年度内授权失效的预审案件总量。</w:t>
            </w:r>
          </w:p>
        </w:tc>
        <w:tc>
          <w:tcPr>
            <w:tcW w:w="600" w:type="dxa"/>
            <w:shd w:val="clear" w:color="auto" w:fill="auto"/>
            <w:tcMar>
              <w:top w:w="0" w:type="dxa"/>
              <w:left w:w="108" w:type="dxa"/>
              <w:bottom w:w="0" w:type="dxa"/>
              <w:right w:w="108" w:type="dxa"/>
            </w:tcMar>
            <w:vAlign w:val="center"/>
          </w:tcPr>
          <w:p w14:paraId="25203E47">
            <w:pPr>
              <w:keepNext w:val="0"/>
              <w:keepLines w:val="0"/>
              <w:widowControl/>
              <w:suppressLineNumbers w:val="0"/>
              <w:jc w:val="left"/>
            </w:pPr>
            <w:r>
              <w:rPr>
                <w:rFonts w:hint="default" w:ascii="Times New Roman" w:hAnsi="Times New Roman" w:eastAsia="宋体" w:cs="Times New Roman"/>
                <w:kern w:val="0"/>
                <w:sz w:val="18"/>
                <w:szCs w:val="18"/>
                <w:lang w:val="en-US" w:eastAsia="zh-CN" w:bidi="ar"/>
              </w:rPr>
              <w:t>3</w:t>
            </w:r>
          </w:p>
        </w:tc>
        <w:tc>
          <w:tcPr>
            <w:tcW w:w="3792" w:type="dxa"/>
            <w:shd w:val="clear" w:color="auto" w:fill="auto"/>
            <w:tcMar>
              <w:top w:w="0" w:type="dxa"/>
              <w:left w:w="108" w:type="dxa"/>
              <w:bottom w:w="0" w:type="dxa"/>
              <w:right w:w="108" w:type="dxa"/>
            </w:tcMar>
            <w:vAlign w:val="center"/>
          </w:tcPr>
          <w:p w14:paraId="3ED02526">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维持比例</w:t>
            </w:r>
            <w:r>
              <w:rPr>
                <w:rFonts w:hint="default" w:ascii="Times New Roman" w:hAnsi="Times New Roman" w:eastAsia="仿宋_GB2312" w:cs="Times New Roman"/>
                <w:kern w:val="0"/>
                <w:sz w:val="18"/>
                <w:szCs w:val="18"/>
                <w:lang w:val="en-US" w:eastAsia="zh-CN" w:bidi="ar"/>
              </w:rPr>
              <w:t>100%</w:t>
            </w:r>
            <w:r>
              <w:rPr>
                <w:rFonts w:hint="eastAsia" w:ascii="仿宋_GB2312" w:hAnsi="宋体" w:eastAsia="仿宋_GB2312" w:cs="仿宋_GB2312"/>
                <w:kern w:val="0"/>
                <w:sz w:val="18"/>
                <w:szCs w:val="18"/>
                <w:lang w:val="en-US" w:eastAsia="zh-CN" w:bidi="ar"/>
              </w:rPr>
              <w:t>的，加</w:t>
            </w:r>
            <w:r>
              <w:rPr>
                <w:rFonts w:hint="default" w:ascii="Times New Roman" w:hAnsi="Times New Roman" w:eastAsia="仿宋_GB2312" w:cs="Times New Roman"/>
                <w:kern w:val="0"/>
                <w:sz w:val="18"/>
                <w:szCs w:val="18"/>
                <w:lang w:val="en-US" w:eastAsia="zh-CN" w:bidi="ar"/>
              </w:rPr>
              <w:t>3</w:t>
            </w:r>
            <w:r>
              <w:rPr>
                <w:rFonts w:hint="eastAsia" w:ascii="仿宋_GB2312" w:hAnsi="宋体" w:eastAsia="仿宋_GB2312" w:cs="仿宋_GB2312"/>
                <w:kern w:val="0"/>
                <w:sz w:val="18"/>
                <w:szCs w:val="18"/>
                <w:lang w:val="en-US" w:eastAsia="zh-CN" w:bidi="ar"/>
              </w:rPr>
              <w:t>分。</w:t>
            </w:r>
          </w:p>
        </w:tc>
      </w:tr>
      <w:tr w14:paraId="3B1EA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tblCellSpacing w:w="0" w:type="dxa"/>
        </w:trPr>
        <w:tc>
          <w:tcPr>
            <w:tcW w:w="506" w:type="dxa"/>
            <w:vMerge w:val="continue"/>
            <w:shd w:val="clear" w:color="auto" w:fill="auto"/>
            <w:tcMar>
              <w:top w:w="0" w:type="dxa"/>
              <w:left w:w="108" w:type="dxa"/>
              <w:bottom w:w="0" w:type="dxa"/>
              <w:right w:w="108" w:type="dxa"/>
            </w:tcMar>
            <w:vAlign w:val="center"/>
          </w:tcPr>
          <w:p w14:paraId="03A5B008">
            <w:pPr>
              <w:rPr>
                <w:rFonts w:hint="eastAsia" w:ascii="宋体"/>
                <w:sz w:val="24"/>
                <w:szCs w:val="24"/>
              </w:rPr>
            </w:pPr>
          </w:p>
        </w:tc>
        <w:tc>
          <w:tcPr>
            <w:tcW w:w="1183" w:type="dxa"/>
            <w:vMerge w:val="continue"/>
            <w:shd w:val="clear" w:color="auto" w:fill="auto"/>
            <w:tcMar>
              <w:top w:w="0" w:type="dxa"/>
              <w:left w:w="108" w:type="dxa"/>
              <w:bottom w:w="0" w:type="dxa"/>
              <w:right w:w="108" w:type="dxa"/>
            </w:tcMar>
            <w:vAlign w:val="center"/>
          </w:tcPr>
          <w:p w14:paraId="73952BFB">
            <w:pPr>
              <w:rPr>
                <w:rFonts w:hint="eastAsia" w:ascii="宋体"/>
                <w:sz w:val="24"/>
                <w:szCs w:val="24"/>
              </w:rPr>
            </w:pPr>
          </w:p>
        </w:tc>
        <w:tc>
          <w:tcPr>
            <w:tcW w:w="1408" w:type="dxa"/>
            <w:vMerge w:val="continue"/>
            <w:shd w:val="clear" w:color="auto" w:fill="auto"/>
            <w:tcMar>
              <w:top w:w="0" w:type="dxa"/>
              <w:left w:w="108" w:type="dxa"/>
              <w:bottom w:w="0" w:type="dxa"/>
              <w:right w:w="108" w:type="dxa"/>
            </w:tcMar>
            <w:vAlign w:val="center"/>
          </w:tcPr>
          <w:p w14:paraId="2FAB6001">
            <w:pPr>
              <w:rPr>
                <w:rFonts w:hint="eastAsia" w:ascii="宋体"/>
                <w:sz w:val="24"/>
                <w:szCs w:val="24"/>
              </w:rPr>
            </w:pPr>
          </w:p>
        </w:tc>
        <w:tc>
          <w:tcPr>
            <w:tcW w:w="1463" w:type="dxa"/>
            <w:shd w:val="clear" w:color="auto" w:fill="auto"/>
            <w:tcMar>
              <w:top w:w="0" w:type="dxa"/>
              <w:left w:w="108" w:type="dxa"/>
              <w:bottom w:w="0" w:type="dxa"/>
              <w:right w:w="108" w:type="dxa"/>
            </w:tcMar>
            <w:vAlign w:val="center"/>
          </w:tcPr>
          <w:p w14:paraId="6A8E8AB2">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一次性合格量</w:t>
            </w:r>
          </w:p>
        </w:tc>
        <w:tc>
          <w:tcPr>
            <w:tcW w:w="5221" w:type="dxa"/>
            <w:shd w:val="clear" w:color="auto" w:fill="auto"/>
            <w:tcMar>
              <w:top w:w="0" w:type="dxa"/>
              <w:left w:w="108" w:type="dxa"/>
              <w:bottom w:w="0" w:type="dxa"/>
              <w:right w:w="108" w:type="dxa"/>
            </w:tcMar>
            <w:vAlign w:val="center"/>
          </w:tcPr>
          <w:p w14:paraId="21254600">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评定年度内，专利预审申请未经修改，一次性预审通过数量，以汕头保护中心预审管理平台数据为准。</w:t>
            </w:r>
          </w:p>
        </w:tc>
        <w:tc>
          <w:tcPr>
            <w:tcW w:w="600" w:type="dxa"/>
            <w:shd w:val="clear" w:color="auto" w:fill="auto"/>
            <w:tcMar>
              <w:top w:w="0" w:type="dxa"/>
              <w:left w:w="108" w:type="dxa"/>
              <w:bottom w:w="0" w:type="dxa"/>
              <w:right w:w="108" w:type="dxa"/>
            </w:tcMar>
            <w:vAlign w:val="center"/>
          </w:tcPr>
          <w:p w14:paraId="3D99C82B">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7</w:t>
            </w:r>
          </w:p>
        </w:tc>
        <w:tc>
          <w:tcPr>
            <w:tcW w:w="3792" w:type="dxa"/>
            <w:shd w:val="clear" w:color="auto" w:fill="auto"/>
            <w:tcMar>
              <w:top w:w="0" w:type="dxa"/>
              <w:left w:w="108" w:type="dxa"/>
              <w:bottom w:w="0" w:type="dxa"/>
              <w:right w:w="108" w:type="dxa"/>
            </w:tcMar>
            <w:vAlign w:val="center"/>
          </w:tcPr>
          <w:p w14:paraId="522823D0">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预审一次性通过案件，每件加</w:t>
            </w:r>
            <w:r>
              <w:rPr>
                <w:rFonts w:hint="default" w:ascii="Times New Roman" w:hAnsi="Times New Roman" w:eastAsia="仿宋_GB2312" w:cs="Times New Roman"/>
                <w:kern w:val="0"/>
                <w:sz w:val="18"/>
                <w:szCs w:val="18"/>
                <w:lang w:val="en-US" w:eastAsia="zh-CN" w:bidi="ar"/>
              </w:rPr>
              <w:t>0.5</w:t>
            </w:r>
            <w:r>
              <w:rPr>
                <w:rFonts w:hint="eastAsia" w:ascii="仿宋_GB2312" w:hAnsi="宋体" w:eastAsia="仿宋_GB2312" w:cs="仿宋_GB2312"/>
                <w:kern w:val="0"/>
                <w:sz w:val="18"/>
                <w:szCs w:val="18"/>
                <w:lang w:val="en-US" w:eastAsia="zh-CN" w:bidi="ar"/>
              </w:rPr>
              <w:t>分。</w:t>
            </w:r>
          </w:p>
        </w:tc>
      </w:tr>
      <w:tr w14:paraId="5FEEB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23" w:hRule="atLeast"/>
          <w:tblCellSpacing w:w="0" w:type="dxa"/>
        </w:trPr>
        <w:tc>
          <w:tcPr>
            <w:tcW w:w="506" w:type="dxa"/>
            <w:vMerge w:val="restart"/>
            <w:shd w:val="clear" w:color="auto" w:fill="auto"/>
            <w:tcMar>
              <w:top w:w="0" w:type="dxa"/>
              <w:left w:w="108" w:type="dxa"/>
              <w:bottom w:w="0" w:type="dxa"/>
              <w:right w:w="108" w:type="dxa"/>
            </w:tcMar>
            <w:vAlign w:val="center"/>
          </w:tcPr>
          <w:p w14:paraId="709E69D0">
            <w:pPr>
              <w:pStyle w:val="3"/>
              <w:keepNext w:val="0"/>
              <w:keepLines w:val="0"/>
              <w:widowControl/>
              <w:suppressLineNumbers w:val="0"/>
              <w:spacing w:line="240" w:lineRule="auto"/>
              <w:jc w:val="center"/>
            </w:pPr>
            <w:r>
              <w:rPr>
                <w:rFonts w:hint="default" w:ascii="Times New Roman" w:hAnsi="Times New Roman" w:cs="Times New Roman"/>
                <w:sz w:val="18"/>
                <w:szCs w:val="18"/>
              </w:rPr>
              <w:t>3</w:t>
            </w:r>
          </w:p>
        </w:tc>
        <w:tc>
          <w:tcPr>
            <w:tcW w:w="1183" w:type="dxa"/>
            <w:vMerge w:val="restart"/>
            <w:shd w:val="clear" w:color="auto" w:fill="auto"/>
            <w:tcMar>
              <w:top w:w="0" w:type="dxa"/>
              <w:left w:w="108" w:type="dxa"/>
              <w:bottom w:w="0" w:type="dxa"/>
              <w:right w:w="108" w:type="dxa"/>
            </w:tcMar>
            <w:vAlign w:val="center"/>
          </w:tcPr>
          <w:p w14:paraId="5C2A34EA">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减分指标（</w:t>
            </w:r>
            <w:r>
              <w:rPr>
                <w:rFonts w:hint="default" w:ascii="Times New Roman" w:hAnsi="Times New Roman" w:eastAsia="仿宋_GB2312" w:cs="Times New Roman"/>
                <w:kern w:val="0"/>
                <w:sz w:val="18"/>
                <w:szCs w:val="18"/>
                <w:lang w:val="en-US" w:eastAsia="zh-CN" w:bidi="ar"/>
              </w:rPr>
              <w:t>45</w:t>
            </w:r>
            <w:r>
              <w:rPr>
                <w:rFonts w:hint="eastAsia" w:ascii="仿宋_GB2312" w:hAnsi="宋体" w:eastAsia="仿宋_GB2312" w:cs="仿宋_GB2312"/>
                <w:kern w:val="0"/>
                <w:sz w:val="18"/>
                <w:szCs w:val="18"/>
                <w:lang w:val="en-US" w:eastAsia="zh-CN" w:bidi="ar"/>
              </w:rPr>
              <w:t>分）</w:t>
            </w:r>
          </w:p>
        </w:tc>
        <w:tc>
          <w:tcPr>
            <w:tcW w:w="1408" w:type="dxa"/>
            <w:vMerge w:val="restart"/>
            <w:shd w:val="clear" w:color="auto" w:fill="auto"/>
            <w:tcMar>
              <w:top w:w="0" w:type="dxa"/>
              <w:left w:w="108" w:type="dxa"/>
              <w:bottom w:w="0" w:type="dxa"/>
              <w:right w:w="108" w:type="dxa"/>
            </w:tcMar>
            <w:vAlign w:val="center"/>
          </w:tcPr>
          <w:p w14:paraId="12375693">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预审申请质量（</w:t>
            </w:r>
            <w:r>
              <w:rPr>
                <w:rFonts w:hint="default" w:ascii="Times New Roman" w:hAnsi="Times New Roman" w:eastAsia="仿宋_GB2312" w:cs="Times New Roman"/>
                <w:kern w:val="0"/>
                <w:sz w:val="18"/>
                <w:szCs w:val="18"/>
                <w:lang w:val="en-US" w:eastAsia="zh-CN" w:bidi="ar"/>
              </w:rPr>
              <w:t>27</w:t>
            </w:r>
            <w:r>
              <w:rPr>
                <w:rFonts w:hint="eastAsia" w:ascii="仿宋_GB2312" w:hAnsi="宋体" w:eastAsia="仿宋_GB2312" w:cs="仿宋_GB2312"/>
                <w:kern w:val="0"/>
                <w:sz w:val="18"/>
                <w:szCs w:val="18"/>
                <w:lang w:val="en-US" w:eastAsia="zh-CN" w:bidi="ar"/>
              </w:rPr>
              <w:t>）</w:t>
            </w:r>
          </w:p>
        </w:tc>
        <w:tc>
          <w:tcPr>
            <w:tcW w:w="1463" w:type="dxa"/>
            <w:shd w:val="clear" w:color="auto" w:fill="auto"/>
            <w:tcMar>
              <w:top w:w="0" w:type="dxa"/>
              <w:left w:w="108" w:type="dxa"/>
              <w:bottom w:w="0" w:type="dxa"/>
              <w:right w:w="108" w:type="dxa"/>
            </w:tcMar>
            <w:vAlign w:val="center"/>
          </w:tcPr>
          <w:p w14:paraId="753DF9D6">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单件预审申请质量</w:t>
            </w:r>
          </w:p>
        </w:tc>
        <w:tc>
          <w:tcPr>
            <w:tcW w:w="5221" w:type="dxa"/>
            <w:shd w:val="clear" w:color="auto" w:fill="auto"/>
            <w:tcMar>
              <w:top w:w="0" w:type="dxa"/>
              <w:left w:w="108" w:type="dxa"/>
              <w:bottom w:w="0" w:type="dxa"/>
              <w:right w:w="108" w:type="dxa"/>
            </w:tcMar>
            <w:vAlign w:val="center"/>
          </w:tcPr>
          <w:p w14:paraId="795DA66E">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预审审查中单件申请的形式缺陷数量。</w:t>
            </w:r>
          </w:p>
        </w:tc>
        <w:tc>
          <w:tcPr>
            <w:tcW w:w="600" w:type="dxa"/>
            <w:shd w:val="clear" w:color="auto" w:fill="auto"/>
            <w:tcMar>
              <w:top w:w="0" w:type="dxa"/>
              <w:left w:w="108" w:type="dxa"/>
              <w:bottom w:w="0" w:type="dxa"/>
              <w:right w:w="108" w:type="dxa"/>
            </w:tcMar>
            <w:vAlign w:val="center"/>
          </w:tcPr>
          <w:p w14:paraId="2F28A462">
            <w:pPr>
              <w:keepNext w:val="0"/>
              <w:keepLines w:val="0"/>
              <w:widowControl/>
              <w:suppressLineNumbers w:val="0"/>
              <w:jc w:val="left"/>
            </w:pPr>
            <w:r>
              <w:rPr>
                <w:rFonts w:hint="default" w:ascii="Times New Roman" w:hAnsi="Times New Roman" w:eastAsia="宋体" w:cs="Times New Roman"/>
                <w:kern w:val="0"/>
                <w:sz w:val="18"/>
                <w:szCs w:val="18"/>
                <w:lang w:val="en-US" w:eastAsia="zh-CN" w:bidi="ar"/>
              </w:rPr>
              <w:t>5</w:t>
            </w:r>
          </w:p>
        </w:tc>
        <w:tc>
          <w:tcPr>
            <w:tcW w:w="3792" w:type="dxa"/>
            <w:shd w:val="clear" w:color="auto" w:fill="auto"/>
            <w:tcMar>
              <w:top w:w="0" w:type="dxa"/>
              <w:left w:w="108" w:type="dxa"/>
              <w:bottom w:w="0" w:type="dxa"/>
              <w:right w:w="108" w:type="dxa"/>
            </w:tcMar>
            <w:vAlign w:val="center"/>
          </w:tcPr>
          <w:p w14:paraId="1BB99BB6">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形式缺陷数量</w:t>
            </w:r>
            <w:r>
              <w:rPr>
                <w:rStyle w:val="6"/>
                <w:rFonts w:hint="eastAsia" w:ascii="仿宋_GB2312" w:hAnsi="宋体" w:eastAsia="仿宋_GB2312" w:cs="仿宋_GB2312"/>
                <w:kern w:val="0"/>
                <w:sz w:val="18"/>
                <w:szCs w:val="18"/>
                <w:lang w:val="en-US" w:eastAsia="zh-CN" w:bidi="ar"/>
              </w:rPr>
              <w:t>多于或等于</w:t>
            </w:r>
            <w:r>
              <w:rPr>
                <w:rStyle w:val="6"/>
                <w:rFonts w:hint="eastAsia" w:ascii="Times New Roman" w:hAnsi="Times New Roman" w:eastAsia="仿宋_GB2312" w:cs="Times New Roman"/>
                <w:kern w:val="0"/>
                <w:sz w:val="18"/>
                <w:szCs w:val="18"/>
                <w:lang w:val="en-US" w:eastAsia="zh-CN" w:bidi="ar"/>
              </w:rPr>
              <w:t>15</w:t>
            </w:r>
            <w:r>
              <w:rPr>
                <w:rStyle w:val="6"/>
                <w:rFonts w:hint="eastAsia" w:ascii="仿宋_GB2312" w:hAnsi="宋体" w:eastAsia="仿宋_GB2312" w:cs="仿宋_GB2312"/>
                <w:kern w:val="0"/>
                <w:sz w:val="18"/>
                <w:szCs w:val="18"/>
                <w:lang w:val="en-US" w:eastAsia="zh-CN" w:bidi="ar"/>
              </w:rPr>
              <w:t>项</w:t>
            </w:r>
            <w:r>
              <w:rPr>
                <w:rFonts w:hint="eastAsia" w:ascii="仿宋_GB2312" w:hAnsi="宋体" w:eastAsia="仿宋_GB2312" w:cs="仿宋_GB2312"/>
                <w:kern w:val="0"/>
                <w:sz w:val="18"/>
                <w:szCs w:val="18"/>
                <w:lang w:val="en-US" w:eastAsia="zh-CN" w:bidi="ar"/>
              </w:rPr>
              <w:t>的，扣</w:t>
            </w:r>
            <w:r>
              <w:rPr>
                <w:rFonts w:hint="default" w:ascii="Times New Roman" w:hAnsi="Times New Roman" w:eastAsia="仿宋_GB2312" w:cs="Times New Roman"/>
                <w:kern w:val="0"/>
                <w:sz w:val="18"/>
                <w:szCs w:val="18"/>
                <w:lang w:val="en-US" w:eastAsia="zh-CN" w:bidi="ar"/>
              </w:rPr>
              <w:t>5</w:t>
            </w:r>
            <w:r>
              <w:rPr>
                <w:rFonts w:hint="eastAsia" w:ascii="仿宋_GB2312" w:hAnsi="宋体" w:eastAsia="仿宋_GB2312" w:cs="仿宋_GB2312"/>
                <w:kern w:val="0"/>
                <w:sz w:val="18"/>
                <w:szCs w:val="18"/>
                <w:lang w:val="en-US" w:eastAsia="zh-CN" w:bidi="ar"/>
              </w:rPr>
              <w:t>分；</w:t>
            </w:r>
            <w:r>
              <w:rPr>
                <w:rStyle w:val="6"/>
                <w:rFonts w:hint="default" w:ascii="Times New Roman" w:hAnsi="Times New Roman" w:eastAsia="仿宋_GB2312" w:cs="Times New Roman"/>
                <w:kern w:val="0"/>
                <w:sz w:val="18"/>
                <w:szCs w:val="18"/>
                <w:lang w:val="en-US" w:eastAsia="zh-CN" w:bidi="ar"/>
              </w:rPr>
              <w:t>10</w:t>
            </w:r>
            <w:r>
              <w:rPr>
                <w:rStyle w:val="6"/>
                <w:rFonts w:hint="eastAsia" w:ascii="仿宋_GB2312" w:hAnsi="宋体" w:eastAsia="仿宋_GB2312" w:cs="仿宋_GB2312"/>
                <w:kern w:val="0"/>
                <w:sz w:val="18"/>
                <w:szCs w:val="18"/>
                <w:lang w:val="en-US" w:eastAsia="zh-CN" w:bidi="ar"/>
              </w:rPr>
              <w:t>项至</w:t>
            </w:r>
            <w:r>
              <w:rPr>
                <w:rStyle w:val="6"/>
                <w:rFonts w:hint="default" w:ascii="Times New Roman" w:hAnsi="Times New Roman" w:eastAsia="仿宋_GB2312" w:cs="Times New Roman"/>
                <w:kern w:val="0"/>
                <w:sz w:val="18"/>
                <w:szCs w:val="18"/>
                <w:lang w:val="en-US" w:eastAsia="zh-CN" w:bidi="ar"/>
              </w:rPr>
              <w:t>15</w:t>
            </w:r>
            <w:r>
              <w:rPr>
                <w:rStyle w:val="6"/>
                <w:rFonts w:hint="eastAsia" w:ascii="仿宋_GB2312" w:hAnsi="宋体" w:eastAsia="仿宋_GB2312" w:cs="仿宋_GB2312"/>
                <w:kern w:val="0"/>
                <w:sz w:val="18"/>
                <w:szCs w:val="18"/>
                <w:lang w:val="en-US" w:eastAsia="zh-CN" w:bidi="ar"/>
              </w:rPr>
              <w:t>项（不含）</w:t>
            </w:r>
            <w:r>
              <w:rPr>
                <w:rFonts w:hint="eastAsia" w:ascii="仿宋_GB2312" w:hAnsi="宋体" w:eastAsia="仿宋_GB2312" w:cs="仿宋_GB2312"/>
                <w:kern w:val="0"/>
                <w:sz w:val="18"/>
                <w:szCs w:val="18"/>
                <w:lang w:val="en-US" w:eastAsia="zh-CN" w:bidi="ar"/>
              </w:rPr>
              <w:t>的，扣</w:t>
            </w:r>
            <w:r>
              <w:rPr>
                <w:rFonts w:hint="default" w:ascii="Times New Roman" w:hAnsi="Times New Roman" w:eastAsia="仿宋_GB2312" w:cs="Times New Roman"/>
                <w:kern w:val="0"/>
                <w:sz w:val="18"/>
                <w:szCs w:val="18"/>
                <w:lang w:val="en-US" w:eastAsia="zh-CN" w:bidi="ar"/>
              </w:rPr>
              <w:t>3</w:t>
            </w:r>
            <w:r>
              <w:rPr>
                <w:rFonts w:hint="eastAsia" w:ascii="仿宋_GB2312" w:hAnsi="宋体" w:eastAsia="仿宋_GB2312" w:cs="仿宋_GB2312"/>
                <w:kern w:val="0"/>
                <w:sz w:val="18"/>
                <w:szCs w:val="18"/>
                <w:lang w:val="en-US" w:eastAsia="zh-CN" w:bidi="ar"/>
              </w:rPr>
              <w:t>分；</w:t>
            </w:r>
            <w:r>
              <w:rPr>
                <w:rStyle w:val="6"/>
                <w:rFonts w:hint="default" w:ascii="Times New Roman" w:hAnsi="Times New Roman" w:eastAsia="仿宋_GB2312" w:cs="Times New Roman"/>
                <w:kern w:val="0"/>
                <w:sz w:val="18"/>
                <w:szCs w:val="18"/>
                <w:lang w:val="en-US" w:eastAsia="zh-CN" w:bidi="ar"/>
              </w:rPr>
              <w:t>5</w:t>
            </w:r>
            <w:r>
              <w:rPr>
                <w:rStyle w:val="6"/>
                <w:rFonts w:hint="eastAsia" w:ascii="仿宋_GB2312" w:hAnsi="宋体" w:eastAsia="仿宋_GB2312" w:cs="仿宋_GB2312"/>
                <w:kern w:val="0"/>
                <w:sz w:val="18"/>
                <w:szCs w:val="18"/>
                <w:lang w:val="en-US" w:eastAsia="zh-CN" w:bidi="ar"/>
              </w:rPr>
              <w:t>项至</w:t>
            </w:r>
            <w:r>
              <w:rPr>
                <w:rStyle w:val="6"/>
                <w:rFonts w:hint="default" w:ascii="Times New Roman" w:hAnsi="Times New Roman" w:eastAsia="仿宋_GB2312" w:cs="Times New Roman"/>
                <w:kern w:val="0"/>
                <w:sz w:val="18"/>
                <w:szCs w:val="18"/>
                <w:lang w:val="en-US" w:eastAsia="zh-CN" w:bidi="ar"/>
              </w:rPr>
              <w:t>10</w:t>
            </w:r>
            <w:r>
              <w:rPr>
                <w:rStyle w:val="6"/>
                <w:rFonts w:hint="eastAsia" w:ascii="仿宋_GB2312" w:hAnsi="宋体" w:eastAsia="仿宋_GB2312" w:cs="仿宋_GB2312"/>
                <w:kern w:val="0"/>
                <w:sz w:val="18"/>
                <w:szCs w:val="18"/>
                <w:lang w:val="en-US" w:eastAsia="zh-CN" w:bidi="ar"/>
              </w:rPr>
              <w:t>项（不含）</w:t>
            </w:r>
            <w:r>
              <w:rPr>
                <w:rFonts w:hint="eastAsia" w:ascii="仿宋_GB2312" w:hAnsi="宋体" w:eastAsia="仿宋_GB2312" w:cs="仿宋_GB2312"/>
                <w:kern w:val="0"/>
                <w:sz w:val="18"/>
                <w:szCs w:val="18"/>
                <w:lang w:val="en-US" w:eastAsia="zh-CN" w:bidi="ar"/>
              </w:rPr>
              <w:t>的，扣</w:t>
            </w:r>
            <w:r>
              <w:rPr>
                <w:rFonts w:hint="default" w:ascii="Times New Roman" w:hAnsi="Times New Roman" w:eastAsia="仿宋_GB2312" w:cs="Times New Roman"/>
                <w:kern w:val="0"/>
                <w:sz w:val="18"/>
                <w:szCs w:val="18"/>
                <w:lang w:val="en-US" w:eastAsia="zh-CN" w:bidi="ar"/>
              </w:rPr>
              <w:t>1</w:t>
            </w:r>
            <w:r>
              <w:rPr>
                <w:rFonts w:hint="eastAsia" w:ascii="仿宋_GB2312" w:hAnsi="宋体" w:eastAsia="仿宋_GB2312" w:cs="仿宋_GB2312"/>
                <w:kern w:val="0"/>
                <w:sz w:val="18"/>
                <w:szCs w:val="18"/>
                <w:lang w:val="en-US" w:eastAsia="zh-CN" w:bidi="ar"/>
              </w:rPr>
              <w:t>分；同一形式缺陷多次出现的，按</w:t>
            </w:r>
            <w:r>
              <w:rPr>
                <w:rFonts w:hint="default" w:ascii="Times New Roman" w:hAnsi="Times New Roman" w:eastAsia="仿宋_GB2312" w:cs="Times New Roman"/>
                <w:kern w:val="0"/>
                <w:sz w:val="18"/>
                <w:szCs w:val="18"/>
                <w:lang w:val="en-US" w:eastAsia="zh-CN" w:bidi="ar"/>
              </w:rPr>
              <w:t>1</w:t>
            </w:r>
            <w:r>
              <w:rPr>
                <w:rFonts w:hint="eastAsia" w:ascii="仿宋_GB2312" w:hAnsi="宋体" w:eastAsia="仿宋_GB2312" w:cs="仿宋_GB2312"/>
                <w:kern w:val="0"/>
                <w:sz w:val="18"/>
                <w:szCs w:val="18"/>
                <w:lang w:val="en-US" w:eastAsia="zh-CN" w:bidi="ar"/>
              </w:rPr>
              <w:t>项计算。</w:t>
            </w:r>
          </w:p>
        </w:tc>
      </w:tr>
      <w:tr w14:paraId="6647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45" w:hRule="atLeast"/>
          <w:tblCellSpacing w:w="0" w:type="dxa"/>
        </w:trPr>
        <w:tc>
          <w:tcPr>
            <w:tcW w:w="506" w:type="dxa"/>
            <w:vMerge w:val="continue"/>
            <w:shd w:val="clear" w:color="auto" w:fill="auto"/>
            <w:tcMar>
              <w:top w:w="0" w:type="dxa"/>
              <w:left w:w="108" w:type="dxa"/>
              <w:bottom w:w="0" w:type="dxa"/>
              <w:right w:w="108" w:type="dxa"/>
            </w:tcMar>
            <w:vAlign w:val="center"/>
          </w:tcPr>
          <w:p w14:paraId="429159C8">
            <w:pPr>
              <w:rPr>
                <w:rFonts w:hint="eastAsia" w:ascii="宋体"/>
                <w:sz w:val="24"/>
                <w:szCs w:val="24"/>
              </w:rPr>
            </w:pPr>
          </w:p>
        </w:tc>
        <w:tc>
          <w:tcPr>
            <w:tcW w:w="1183" w:type="dxa"/>
            <w:vMerge w:val="continue"/>
            <w:shd w:val="clear" w:color="auto" w:fill="auto"/>
            <w:tcMar>
              <w:top w:w="0" w:type="dxa"/>
              <w:left w:w="108" w:type="dxa"/>
              <w:bottom w:w="0" w:type="dxa"/>
              <w:right w:w="108" w:type="dxa"/>
            </w:tcMar>
            <w:vAlign w:val="center"/>
          </w:tcPr>
          <w:p w14:paraId="31B9C817">
            <w:pPr>
              <w:rPr>
                <w:rFonts w:hint="eastAsia" w:ascii="宋体"/>
                <w:sz w:val="24"/>
                <w:szCs w:val="24"/>
              </w:rPr>
            </w:pPr>
          </w:p>
        </w:tc>
        <w:tc>
          <w:tcPr>
            <w:tcW w:w="1408" w:type="dxa"/>
            <w:vMerge w:val="continue"/>
            <w:shd w:val="clear" w:color="auto" w:fill="auto"/>
            <w:tcMar>
              <w:top w:w="0" w:type="dxa"/>
              <w:left w:w="108" w:type="dxa"/>
              <w:bottom w:w="0" w:type="dxa"/>
              <w:right w:w="108" w:type="dxa"/>
            </w:tcMar>
            <w:vAlign w:val="center"/>
          </w:tcPr>
          <w:p w14:paraId="178AE719">
            <w:pPr>
              <w:rPr>
                <w:rFonts w:hint="eastAsia" w:ascii="宋体"/>
                <w:sz w:val="24"/>
                <w:szCs w:val="24"/>
              </w:rPr>
            </w:pPr>
          </w:p>
        </w:tc>
        <w:tc>
          <w:tcPr>
            <w:tcW w:w="1463" w:type="dxa"/>
            <w:shd w:val="clear" w:color="auto" w:fill="auto"/>
            <w:tcMar>
              <w:top w:w="0" w:type="dxa"/>
              <w:left w:w="108" w:type="dxa"/>
              <w:bottom w:w="0" w:type="dxa"/>
              <w:right w:w="108" w:type="dxa"/>
            </w:tcMar>
            <w:vAlign w:val="center"/>
          </w:tcPr>
          <w:p w14:paraId="03708303">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审查意见通知书数量</w:t>
            </w:r>
          </w:p>
        </w:tc>
        <w:tc>
          <w:tcPr>
            <w:tcW w:w="5221" w:type="dxa"/>
            <w:shd w:val="clear" w:color="auto" w:fill="auto"/>
            <w:tcMar>
              <w:top w:w="0" w:type="dxa"/>
              <w:left w:w="108" w:type="dxa"/>
              <w:bottom w:w="0" w:type="dxa"/>
              <w:right w:w="108" w:type="dxa"/>
            </w:tcMar>
            <w:vAlign w:val="center"/>
          </w:tcPr>
          <w:p w14:paraId="4CCA8CE6">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预审审查中，预审员发出的审查意见通知书数量，以汕头保护中心预审管理平台数据为准。</w:t>
            </w:r>
          </w:p>
        </w:tc>
        <w:tc>
          <w:tcPr>
            <w:tcW w:w="600" w:type="dxa"/>
            <w:shd w:val="clear" w:color="auto" w:fill="auto"/>
            <w:tcMar>
              <w:top w:w="0" w:type="dxa"/>
              <w:left w:w="108" w:type="dxa"/>
              <w:bottom w:w="0" w:type="dxa"/>
              <w:right w:w="108" w:type="dxa"/>
            </w:tcMar>
            <w:vAlign w:val="center"/>
          </w:tcPr>
          <w:p w14:paraId="1A21CF85">
            <w:pPr>
              <w:keepNext w:val="0"/>
              <w:keepLines w:val="0"/>
              <w:widowControl/>
              <w:suppressLineNumbers w:val="0"/>
              <w:jc w:val="left"/>
            </w:pPr>
            <w:r>
              <w:rPr>
                <w:rFonts w:hint="default" w:ascii="Times New Roman" w:hAnsi="Times New Roman" w:eastAsia="宋体" w:cs="Times New Roman"/>
                <w:kern w:val="0"/>
                <w:sz w:val="18"/>
                <w:szCs w:val="18"/>
                <w:lang w:val="en-US" w:eastAsia="zh-CN" w:bidi="ar"/>
              </w:rPr>
              <w:t>7</w:t>
            </w:r>
          </w:p>
        </w:tc>
        <w:tc>
          <w:tcPr>
            <w:tcW w:w="3792" w:type="dxa"/>
            <w:shd w:val="clear" w:color="auto" w:fill="auto"/>
            <w:tcMar>
              <w:top w:w="0" w:type="dxa"/>
              <w:left w:w="108" w:type="dxa"/>
              <w:bottom w:w="0" w:type="dxa"/>
              <w:right w:w="108" w:type="dxa"/>
            </w:tcMar>
            <w:vAlign w:val="center"/>
          </w:tcPr>
          <w:p w14:paraId="02A2E024">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接收的通知书数量超过</w:t>
            </w:r>
            <w:r>
              <w:rPr>
                <w:rFonts w:hint="default" w:ascii="Times New Roman" w:hAnsi="Times New Roman" w:eastAsia="仿宋_GB2312" w:cs="Times New Roman"/>
                <w:kern w:val="0"/>
                <w:sz w:val="18"/>
                <w:szCs w:val="18"/>
                <w:lang w:val="en-US" w:eastAsia="zh-CN" w:bidi="ar"/>
              </w:rPr>
              <w:t>3</w:t>
            </w:r>
            <w:r>
              <w:rPr>
                <w:rFonts w:hint="eastAsia" w:ascii="仿宋_GB2312" w:hAnsi="宋体" w:eastAsia="仿宋_GB2312" w:cs="仿宋_GB2312"/>
                <w:kern w:val="0"/>
                <w:sz w:val="18"/>
                <w:szCs w:val="18"/>
                <w:lang w:val="en-US" w:eastAsia="zh-CN" w:bidi="ar"/>
              </w:rPr>
              <w:t>份的，扣</w:t>
            </w:r>
            <w:r>
              <w:rPr>
                <w:rFonts w:hint="default" w:ascii="Times New Roman" w:hAnsi="Times New Roman" w:eastAsia="仿宋_GB2312" w:cs="Times New Roman"/>
                <w:kern w:val="0"/>
                <w:sz w:val="18"/>
                <w:szCs w:val="18"/>
                <w:lang w:val="en-US" w:eastAsia="zh-CN" w:bidi="ar"/>
              </w:rPr>
              <w:t>3</w:t>
            </w:r>
            <w:r>
              <w:rPr>
                <w:rFonts w:hint="eastAsia" w:ascii="仿宋_GB2312" w:hAnsi="宋体" w:eastAsia="仿宋_GB2312" w:cs="仿宋_GB2312"/>
                <w:kern w:val="0"/>
                <w:sz w:val="18"/>
                <w:szCs w:val="18"/>
                <w:lang w:val="en-US" w:eastAsia="zh-CN" w:bidi="ar"/>
              </w:rPr>
              <w:t>分，每多一份加扣</w:t>
            </w:r>
            <w:r>
              <w:rPr>
                <w:rFonts w:hint="default" w:ascii="Times New Roman" w:hAnsi="Times New Roman" w:eastAsia="仿宋_GB2312" w:cs="Times New Roman"/>
                <w:kern w:val="0"/>
                <w:sz w:val="18"/>
                <w:szCs w:val="18"/>
                <w:lang w:val="en-US" w:eastAsia="zh-CN" w:bidi="ar"/>
              </w:rPr>
              <w:t>2</w:t>
            </w:r>
            <w:r>
              <w:rPr>
                <w:rFonts w:hint="eastAsia" w:ascii="仿宋_GB2312" w:hAnsi="宋体" w:eastAsia="仿宋_GB2312" w:cs="仿宋_GB2312"/>
                <w:kern w:val="0"/>
                <w:sz w:val="18"/>
                <w:szCs w:val="18"/>
                <w:lang w:val="en-US" w:eastAsia="zh-CN" w:bidi="ar"/>
              </w:rPr>
              <w:t>分。</w:t>
            </w:r>
          </w:p>
        </w:tc>
      </w:tr>
      <w:tr w14:paraId="3A480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tblCellSpacing w:w="0" w:type="dxa"/>
        </w:trPr>
        <w:tc>
          <w:tcPr>
            <w:tcW w:w="506" w:type="dxa"/>
            <w:vMerge w:val="continue"/>
            <w:shd w:val="clear" w:color="auto" w:fill="auto"/>
            <w:tcMar>
              <w:top w:w="0" w:type="dxa"/>
              <w:left w:w="108" w:type="dxa"/>
              <w:bottom w:w="0" w:type="dxa"/>
              <w:right w:w="108" w:type="dxa"/>
            </w:tcMar>
            <w:vAlign w:val="center"/>
          </w:tcPr>
          <w:p w14:paraId="71BBCD46">
            <w:pPr>
              <w:rPr>
                <w:rFonts w:hint="eastAsia" w:ascii="宋体"/>
                <w:sz w:val="24"/>
                <w:szCs w:val="24"/>
              </w:rPr>
            </w:pPr>
          </w:p>
        </w:tc>
        <w:tc>
          <w:tcPr>
            <w:tcW w:w="1183" w:type="dxa"/>
            <w:vMerge w:val="continue"/>
            <w:shd w:val="clear" w:color="auto" w:fill="auto"/>
            <w:tcMar>
              <w:top w:w="0" w:type="dxa"/>
              <w:left w:w="108" w:type="dxa"/>
              <w:bottom w:w="0" w:type="dxa"/>
              <w:right w:w="108" w:type="dxa"/>
            </w:tcMar>
            <w:vAlign w:val="center"/>
          </w:tcPr>
          <w:p w14:paraId="67B247AF">
            <w:pPr>
              <w:rPr>
                <w:rFonts w:hint="eastAsia" w:ascii="宋体"/>
                <w:sz w:val="24"/>
                <w:szCs w:val="24"/>
              </w:rPr>
            </w:pPr>
          </w:p>
        </w:tc>
        <w:tc>
          <w:tcPr>
            <w:tcW w:w="1408" w:type="dxa"/>
            <w:vMerge w:val="continue"/>
            <w:shd w:val="clear" w:color="auto" w:fill="auto"/>
            <w:tcMar>
              <w:top w:w="0" w:type="dxa"/>
              <w:left w:w="108" w:type="dxa"/>
              <w:bottom w:w="0" w:type="dxa"/>
              <w:right w:w="108" w:type="dxa"/>
            </w:tcMar>
            <w:vAlign w:val="center"/>
          </w:tcPr>
          <w:p w14:paraId="3683E7ED">
            <w:pPr>
              <w:rPr>
                <w:rFonts w:hint="eastAsia" w:ascii="宋体"/>
                <w:sz w:val="24"/>
                <w:szCs w:val="24"/>
              </w:rPr>
            </w:pPr>
          </w:p>
        </w:tc>
        <w:tc>
          <w:tcPr>
            <w:tcW w:w="1463" w:type="dxa"/>
            <w:shd w:val="clear" w:color="auto" w:fill="auto"/>
            <w:tcMar>
              <w:top w:w="0" w:type="dxa"/>
              <w:left w:w="108" w:type="dxa"/>
              <w:bottom w:w="0" w:type="dxa"/>
              <w:right w:w="108" w:type="dxa"/>
            </w:tcMar>
            <w:vAlign w:val="center"/>
          </w:tcPr>
          <w:p w14:paraId="20E5287A">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预审不通过率</w:t>
            </w:r>
          </w:p>
        </w:tc>
        <w:tc>
          <w:tcPr>
            <w:tcW w:w="5221" w:type="dxa"/>
            <w:shd w:val="clear" w:color="auto" w:fill="auto"/>
            <w:tcMar>
              <w:top w:w="0" w:type="dxa"/>
              <w:left w:w="108" w:type="dxa"/>
              <w:bottom w:w="0" w:type="dxa"/>
              <w:right w:w="108" w:type="dxa"/>
            </w:tcMar>
            <w:vAlign w:val="center"/>
          </w:tcPr>
          <w:p w14:paraId="5C08CDF1">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评定年度内，专利预审申请不通过率</w:t>
            </w:r>
            <w:r>
              <w:rPr>
                <w:rFonts w:hint="default" w:ascii="Times New Roman" w:hAnsi="Times New Roman" w:eastAsia="仿宋_GB2312" w:cs="Times New Roman"/>
                <w:kern w:val="0"/>
                <w:sz w:val="18"/>
                <w:szCs w:val="18"/>
                <w:lang w:val="en-US" w:eastAsia="zh-CN" w:bidi="ar"/>
              </w:rPr>
              <w:t>=</w:t>
            </w:r>
            <w:r>
              <w:rPr>
                <w:rFonts w:hint="eastAsia" w:ascii="仿宋_GB2312" w:hAnsi="宋体" w:eastAsia="仿宋_GB2312" w:cs="仿宋_GB2312"/>
                <w:kern w:val="0"/>
                <w:sz w:val="18"/>
                <w:szCs w:val="18"/>
                <w:lang w:val="en-US" w:eastAsia="zh-CN" w:bidi="ar"/>
              </w:rPr>
              <w:t>（受理量</w:t>
            </w:r>
            <w:r>
              <w:rPr>
                <w:rFonts w:hint="default" w:ascii="Times New Roman" w:hAnsi="Times New Roman" w:eastAsia="仿宋_GB2312" w:cs="Times New Roman"/>
                <w:kern w:val="0"/>
                <w:sz w:val="18"/>
                <w:szCs w:val="18"/>
                <w:lang w:val="en-US" w:eastAsia="zh-CN" w:bidi="ar"/>
              </w:rPr>
              <w:t>-</w:t>
            </w:r>
            <w:r>
              <w:rPr>
                <w:rFonts w:hint="eastAsia" w:ascii="仿宋_GB2312" w:hAnsi="宋体" w:eastAsia="仿宋_GB2312" w:cs="仿宋_GB2312"/>
                <w:kern w:val="0"/>
                <w:sz w:val="18"/>
                <w:szCs w:val="18"/>
                <w:lang w:val="en-US" w:eastAsia="zh-CN" w:bidi="ar"/>
              </w:rPr>
              <w:t>打标量）</w:t>
            </w:r>
            <w:r>
              <w:rPr>
                <w:rFonts w:hint="default" w:ascii="Times New Roman" w:hAnsi="Times New Roman" w:eastAsia="仿宋_GB2312" w:cs="Times New Roman"/>
                <w:kern w:val="0"/>
                <w:sz w:val="18"/>
                <w:szCs w:val="18"/>
                <w:lang w:val="en-US" w:eastAsia="zh-CN" w:bidi="ar"/>
              </w:rPr>
              <w:t>/</w:t>
            </w:r>
            <w:r>
              <w:rPr>
                <w:rFonts w:hint="eastAsia" w:ascii="仿宋_GB2312" w:hAnsi="宋体" w:eastAsia="仿宋_GB2312" w:cs="仿宋_GB2312"/>
                <w:kern w:val="0"/>
                <w:sz w:val="18"/>
                <w:szCs w:val="18"/>
                <w:lang w:val="en-US" w:eastAsia="zh-CN" w:bidi="ar"/>
              </w:rPr>
              <w:t>受理量，以汕头保护中心预审管理平台数据为准。</w:t>
            </w:r>
          </w:p>
        </w:tc>
        <w:tc>
          <w:tcPr>
            <w:tcW w:w="600" w:type="dxa"/>
            <w:shd w:val="clear" w:color="auto" w:fill="auto"/>
            <w:tcMar>
              <w:top w:w="0" w:type="dxa"/>
              <w:left w:w="108" w:type="dxa"/>
              <w:bottom w:w="0" w:type="dxa"/>
              <w:right w:w="108" w:type="dxa"/>
            </w:tcMar>
            <w:vAlign w:val="center"/>
          </w:tcPr>
          <w:p w14:paraId="707469A7">
            <w:pPr>
              <w:keepNext w:val="0"/>
              <w:keepLines w:val="0"/>
              <w:widowControl/>
              <w:suppressLineNumbers w:val="0"/>
              <w:jc w:val="left"/>
            </w:pPr>
            <w:r>
              <w:rPr>
                <w:rFonts w:hint="default" w:ascii="Times New Roman" w:hAnsi="Times New Roman" w:eastAsia="宋体" w:cs="Times New Roman"/>
                <w:kern w:val="0"/>
                <w:sz w:val="18"/>
                <w:szCs w:val="18"/>
                <w:lang w:val="en-US" w:eastAsia="zh-CN" w:bidi="ar"/>
              </w:rPr>
              <w:t>5</w:t>
            </w:r>
          </w:p>
        </w:tc>
        <w:tc>
          <w:tcPr>
            <w:tcW w:w="3792" w:type="dxa"/>
            <w:shd w:val="clear" w:color="auto" w:fill="auto"/>
            <w:tcMar>
              <w:top w:w="0" w:type="dxa"/>
              <w:left w:w="108" w:type="dxa"/>
              <w:bottom w:w="0" w:type="dxa"/>
              <w:right w:w="108" w:type="dxa"/>
            </w:tcMar>
            <w:vAlign w:val="center"/>
          </w:tcPr>
          <w:p w14:paraId="1B57759D">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预审申请量</w:t>
            </w:r>
            <w:r>
              <w:rPr>
                <w:rStyle w:val="6"/>
                <w:rFonts w:hint="eastAsia" w:ascii="仿宋_GB2312" w:hAnsi="宋体" w:eastAsia="仿宋_GB2312" w:cs="仿宋_GB2312"/>
                <w:kern w:val="0"/>
                <w:sz w:val="18"/>
                <w:szCs w:val="18"/>
                <w:lang w:val="en-US" w:eastAsia="zh-CN" w:bidi="ar"/>
              </w:rPr>
              <w:t>超过</w:t>
            </w:r>
            <w:r>
              <w:rPr>
                <w:rStyle w:val="6"/>
                <w:rFonts w:hint="default" w:ascii="Times New Roman" w:hAnsi="Times New Roman" w:eastAsia="仿宋_GB2312" w:cs="Times New Roman"/>
                <w:kern w:val="0"/>
                <w:sz w:val="18"/>
                <w:szCs w:val="18"/>
                <w:lang w:val="en-US" w:eastAsia="zh-CN" w:bidi="ar"/>
              </w:rPr>
              <w:t>20</w:t>
            </w:r>
            <w:r>
              <w:rPr>
                <w:rStyle w:val="6"/>
                <w:rFonts w:hint="eastAsia" w:ascii="仿宋_GB2312" w:hAnsi="宋体" w:eastAsia="仿宋_GB2312" w:cs="仿宋_GB2312"/>
                <w:kern w:val="0"/>
                <w:sz w:val="18"/>
                <w:szCs w:val="18"/>
                <w:lang w:val="en-US" w:eastAsia="zh-CN" w:bidi="ar"/>
              </w:rPr>
              <w:t>件</w:t>
            </w:r>
            <w:r>
              <w:rPr>
                <w:rFonts w:hint="eastAsia" w:ascii="仿宋_GB2312" w:hAnsi="宋体" w:eastAsia="仿宋_GB2312" w:cs="仿宋_GB2312"/>
                <w:kern w:val="0"/>
                <w:sz w:val="18"/>
                <w:szCs w:val="18"/>
                <w:lang w:val="en-US" w:eastAsia="zh-CN" w:bidi="ar"/>
              </w:rPr>
              <w:t>，不通过率</w:t>
            </w:r>
            <w:r>
              <w:rPr>
                <w:rFonts w:hint="default" w:ascii="Times New Roman" w:hAnsi="Times New Roman" w:eastAsia="仿宋_GB2312" w:cs="Times New Roman"/>
                <w:kern w:val="0"/>
                <w:sz w:val="18"/>
                <w:szCs w:val="18"/>
                <w:lang w:val="en-US" w:eastAsia="zh-CN" w:bidi="ar"/>
              </w:rPr>
              <w:t>70%</w:t>
            </w:r>
            <w:r>
              <w:rPr>
                <w:rFonts w:hint="eastAsia" w:ascii="仿宋_GB2312" w:hAnsi="宋体" w:eastAsia="仿宋_GB2312" w:cs="仿宋_GB2312"/>
                <w:kern w:val="0"/>
                <w:sz w:val="18"/>
                <w:szCs w:val="18"/>
                <w:lang w:val="en-US" w:eastAsia="zh-CN" w:bidi="ar"/>
              </w:rPr>
              <w:t>以上的，扣</w:t>
            </w:r>
            <w:r>
              <w:rPr>
                <w:rFonts w:hint="default" w:ascii="Times New Roman" w:hAnsi="Times New Roman" w:eastAsia="仿宋_GB2312" w:cs="Times New Roman"/>
                <w:kern w:val="0"/>
                <w:sz w:val="18"/>
                <w:szCs w:val="18"/>
                <w:lang w:val="en-US" w:eastAsia="zh-CN" w:bidi="ar"/>
              </w:rPr>
              <w:t>5</w:t>
            </w:r>
            <w:r>
              <w:rPr>
                <w:rFonts w:hint="eastAsia" w:ascii="仿宋_GB2312" w:hAnsi="宋体" w:eastAsia="仿宋_GB2312" w:cs="仿宋_GB2312"/>
                <w:kern w:val="0"/>
                <w:sz w:val="18"/>
                <w:szCs w:val="18"/>
                <w:lang w:val="en-US" w:eastAsia="zh-CN" w:bidi="ar"/>
              </w:rPr>
              <w:t>分；不通过率</w:t>
            </w:r>
            <w:r>
              <w:rPr>
                <w:rFonts w:hint="default" w:ascii="Times New Roman" w:hAnsi="Times New Roman" w:eastAsia="仿宋_GB2312" w:cs="Times New Roman"/>
                <w:kern w:val="0"/>
                <w:sz w:val="18"/>
                <w:szCs w:val="18"/>
                <w:lang w:val="en-US" w:eastAsia="zh-CN" w:bidi="ar"/>
              </w:rPr>
              <w:t>50%</w:t>
            </w:r>
            <w:r>
              <w:rPr>
                <w:rFonts w:hint="eastAsia" w:ascii="仿宋_GB2312" w:hAnsi="宋体" w:eastAsia="仿宋_GB2312" w:cs="仿宋_GB2312"/>
                <w:kern w:val="0"/>
                <w:sz w:val="18"/>
                <w:szCs w:val="18"/>
                <w:lang w:val="en-US" w:eastAsia="zh-CN" w:bidi="ar"/>
              </w:rPr>
              <w:t>以上但不足</w:t>
            </w:r>
            <w:r>
              <w:rPr>
                <w:rFonts w:hint="default" w:ascii="Times New Roman" w:hAnsi="Times New Roman" w:eastAsia="仿宋_GB2312" w:cs="Times New Roman"/>
                <w:kern w:val="0"/>
                <w:sz w:val="18"/>
                <w:szCs w:val="18"/>
                <w:lang w:val="en-US" w:eastAsia="zh-CN" w:bidi="ar"/>
              </w:rPr>
              <w:t>70%</w:t>
            </w:r>
            <w:r>
              <w:rPr>
                <w:rFonts w:hint="eastAsia" w:ascii="仿宋_GB2312" w:hAnsi="宋体" w:eastAsia="仿宋_GB2312" w:cs="仿宋_GB2312"/>
                <w:kern w:val="0"/>
                <w:sz w:val="18"/>
                <w:szCs w:val="18"/>
                <w:lang w:val="en-US" w:eastAsia="zh-CN" w:bidi="ar"/>
              </w:rPr>
              <w:t>的，扣</w:t>
            </w:r>
            <w:r>
              <w:rPr>
                <w:rFonts w:hint="default" w:ascii="Times New Roman" w:hAnsi="Times New Roman" w:eastAsia="仿宋_GB2312" w:cs="Times New Roman"/>
                <w:kern w:val="0"/>
                <w:sz w:val="18"/>
                <w:szCs w:val="18"/>
                <w:lang w:val="en-US" w:eastAsia="zh-CN" w:bidi="ar"/>
              </w:rPr>
              <w:t>3</w:t>
            </w:r>
            <w:r>
              <w:rPr>
                <w:rFonts w:hint="eastAsia" w:ascii="仿宋_GB2312" w:hAnsi="宋体" w:eastAsia="仿宋_GB2312" w:cs="仿宋_GB2312"/>
                <w:kern w:val="0"/>
                <w:sz w:val="18"/>
                <w:szCs w:val="18"/>
                <w:lang w:val="en-US" w:eastAsia="zh-CN" w:bidi="ar"/>
              </w:rPr>
              <w:t>分。预审申请量</w:t>
            </w:r>
            <w:r>
              <w:rPr>
                <w:rStyle w:val="6"/>
                <w:rFonts w:hint="eastAsia" w:ascii="仿宋_GB2312" w:hAnsi="宋体" w:eastAsia="仿宋_GB2312" w:cs="仿宋_GB2312"/>
                <w:kern w:val="0"/>
                <w:sz w:val="18"/>
                <w:szCs w:val="18"/>
                <w:lang w:val="en-US" w:eastAsia="zh-CN" w:bidi="ar"/>
              </w:rPr>
              <w:t>不足</w:t>
            </w:r>
            <w:r>
              <w:rPr>
                <w:rStyle w:val="6"/>
                <w:rFonts w:hint="default" w:ascii="Times New Roman" w:hAnsi="Times New Roman" w:eastAsia="仿宋_GB2312" w:cs="Times New Roman"/>
                <w:kern w:val="0"/>
                <w:sz w:val="18"/>
                <w:szCs w:val="18"/>
                <w:lang w:val="en-US" w:eastAsia="zh-CN" w:bidi="ar"/>
              </w:rPr>
              <w:t>20</w:t>
            </w:r>
            <w:r>
              <w:rPr>
                <w:rStyle w:val="6"/>
                <w:rFonts w:hint="eastAsia" w:ascii="仿宋_GB2312" w:hAnsi="宋体" w:eastAsia="仿宋_GB2312" w:cs="仿宋_GB2312"/>
                <w:kern w:val="0"/>
                <w:sz w:val="18"/>
                <w:szCs w:val="18"/>
                <w:lang w:val="en-US" w:eastAsia="zh-CN" w:bidi="ar"/>
              </w:rPr>
              <w:t>件</w:t>
            </w:r>
            <w:r>
              <w:rPr>
                <w:rFonts w:hint="eastAsia" w:ascii="仿宋_GB2312" w:hAnsi="宋体" w:eastAsia="仿宋_GB2312" w:cs="仿宋_GB2312"/>
                <w:kern w:val="0"/>
                <w:sz w:val="18"/>
                <w:szCs w:val="18"/>
                <w:lang w:val="en-US" w:eastAsia="zh-CN" w:bidi="ar"/>
              </w:rPr>
              <w:t>，不通过率超过</w:t>
            </w:r>
            <w:r>
              <w:rPr>
                <w:rFonts w:hint="default" w:ascii="Times New Roman" w:hAnsi="Times New Roman" w:eastAsia="仿宋_GB2312" w:cs="Times New Roman"/>
                <w:kern w:val="0"/>
                <w:sz w:val="18"/>
                <w:szCs w:val="18"/>
                <w:lang w:val="en-US" w:eastAsia="zh-CN" w:bidi="ar"/>
              </w:rPr>
              <w:t>50%</w:t>
            </w:r>
            <w:r>
              <w:rPr>
                <w:rFonts w:hint="eastAsia" w:ascii="仿宋_GB2312" w:hAnsi="宋体" w:eastAsia="仿宋_GB2312" w:cs="仿宋_GB2312"/>
                <w:kern w:val="0"/>
                <w:sz w:val="18"/>
                <w:szCs w:val="18"/>
                <w:lang w:val="en-US" w:eastAsia="zh-CN" w:bidi="ar"/>
              </w:rPr>
              <w:t>的，扣</w:t>
            </w:r>
            <w:r>
              <w:rPr>
                <w:rFonts w:hint="default" w:ascii="Times New Roman" w:hAnsi="Times New Roman" w:eastAsia="仿宋_GB2312" w:cs="Times New Roman"/>
                <w:kern w:val="0"/>
                <w:sz w:val="18"/>
                <w:szCs w:val="18"/>
                <w:lang w:val="en-US" w:eastAsia="zh-CN" w:bidi="ar"/>
              </w:rPr>
              <w:t>5</w:t>
            </w:r>
            <w:r>
              <w:rPr>
                <w:rFonts w:hint="eastAsia" w:ascii="仿宋_GB2312" w:hAnsi="宋体" w:eastAsia="仿宋_GB2312" w:cs="仿宋_GB2312"/>
                <w:kern w:val="0"/>
                <w:sz w:val="18"/>
                <w:szCs w:val="18"/>
                <w:lang w:val="en-US" w:eastAsia="zh-CN" w:bidi="ar"/>
              </w:rPr>
              <w:t>分。</w:t>
            </w:r>
          </w:p>
        </w:tc>
      </w:tr>
      <w:tr w14:paraId="39487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tblCellSpacing w:w="0" w:type="dxa"/>
        </w:trPr>
        <w:tc>
          <w:tcPr>
            <w:tcW w:w="506" w:type="dxa"/>
            <w:vMerge w:val="continue"/>
            <w:shd w:val="clear" w:color="auto" w:fill="auto"/>
            <w:tcMar>
              <w:top w:w="0" w:type="dxa"/>
              <w:left w:w="108" w:type="dxa"/>
              <w:bottom w:w="0" w:type="dxa"/>
              <w:right w:w="108" w:type="dxa"/>
            </w:tcMar>
            <w:vAlign w:val="center"/>
          </w:tcPr>
          <w:p w14:paraId="009E1FD0">
            <w:pPr>
              <w:rPr>
                <w:rFonts w:hint="eastAsia" w:ascii="宋体"/>
                <w:sz w:val="24"/>
                <w:szCs w:val="24"/>
              </w:rPr>
            </w:pPr>
          </w:p>
        </w:tc>
        <w:tc>
          <w:tcPr>
            <w:tcW w:w="1183" w:type="dxa"/>
            <w:vMerge w:val="continue"/>
            <w:shd w:val="clear" w:color="auto" w:fill="auto"/>
            <w:tcMar>
              <w:top w:w="0" w:type="dxa"/>
              <w:left w:w="108" w:type="dxa"/>
              <w:bottom w:w="0" w:type="dxa"/>
              <w:right w:w="108" w:type="dxa"/>
            </w:tcMar>
            <w:vAlign w:val="center"/>
          </w:tcPr>
          <w:p w14:paraId="2D708888">
            <w:pPr>
              <w:rPr>
                <w:rFonts w:hint="eastAsia" w:ascii="宋体"/>
                <w:sz w:val="24"/>
                <w:szCs w:val="24"/>
              </w:rPr>
            </w:pPr>
          </w:p>
        </w:tc>
        <w:tc>
          <w:tcPr>
            <w:tcW w:w="1408" w:type="dxa"/>
            <w:vMerge w:val="continue"/>
            <w:shd w:val="clear" w:color="auto" w:fill="auto"/>
            <w:tcMar>
              <w:top w:w="0" w:type="dxa"/>
              <w:left w:w="108" w:type="dxa"/>
              <w:bottom w:w="0" w:type="dxa"/>
              <w:right w:w="108" w:type="dxa"/>
            </w:tcMar>
            <w:vAlign w:val="center"/>
          </w:tcPr>
          <w:p w14:paraId="77ABE49F">
            <w:pPr>
              <w:rPr>
                <w:rFonts w:hint="eastAsia" w:ascii="宋体"/>
                <w:sz w:val="24"/>
                <w:szCs w:val="24"/>
              </w:rPr>
            </w:pPr>
          </w:p>
        </w:tc>
        <w:tc>
          <w:tcPr>
            <w:tcW w:w="1463" w:type="dxa"/>
            <w:shd w:val="clear" w:color="auto" w:fill="auto"/>
            <w:tcMar>
              <w:top w:w="0" w:type="dxa"/>
              <w:left w:w="108" w:type="dxa"/>
              <w:bottom w:w="0" w:type="dxa"/>
              <w:right w:w="108" w:type="dxa"/>
            </w:tcMar>
            <w:vAlign w:val="center"/>
          </w:tcPr>
          <w:p w14:paraId="33A7C52D">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一致性不合格量</w:t>
            </w:r>
          </w:p>
        </w:tc>
        <w:tc>
          <w:tcPr>
            <w:tcW w:w="5221" w:type="dxa"/>
            <w:shd w:val="clear" w:color="auto" w:fill="auto"/>
            <w:tcMar>
              <w:top w:w="0" w:type="dxa"/>
              <w:left w:w="108" w:type="dxa"/>
              <w:bottom w:w="0" w:type="dxa"/>
              <w:right w:w="108" w:type="dxa"/>
            </w:tcMar>
            <w:vAlign w:val="center"/>
          </w:tcPr>
          <w:p w14:paraId="3495835E">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评定年度内，预审申请合格后，向国家知识产权局提交的正式申请文本与预审合格文本内容不一致的，以汕头保护中心预审管理平台数据为准。</w:t>
            </w:r>
          </w:p>
        </w:tc>
        <w:tc>
          <w:tcPr>
            <w:tcW w:w="600" w:type="dxa"/>
            <w:shd w:val="clear" w:color="auto" w:fill="auto"/>
            <w:tcMar>
              <w:top w:w="0" w:type="dxa"/>
              <w:left w:w="108" w:type="dxa"/>
              <w:bottom w:w="0" w:type="dxa"/>
              <w:right w:w="108" w:type="dxa"/>
            </w:tcMar>
            <w:vAlign w:val="center"/>
          </w:tcPr>
          <w:p w14:paraId="00140143">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10</w:t>
            </w:r>
          </w:p>
        </w:tc>
        <w:tc>
          <w:tcPr>
            <w:tcW w:w="3792" w:type="dxa"/>
            <w:shd w:val="clear" w:color="auto" w:fill="auto"/>
            <w:tcMar>
              <w:top w:w="0" w:type="dxa"/>
              <w:left w:w="108" w:type="dxa"/>
              <w:bottom w:w="0" w:type="dxa"/>
              <w:right w:w="108" w:type="dxa"/>
            </w:tcMar>
            <w:vAlign w:val="center"/>
          </w:tcPr>
          <w:p w14:paraId="593E959F">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出现一致性不合格的，每件扣</w:t>
            </w:r>
            <w:r>
              <w:rPr>
                <w:rFonts w:hint="eastAsia" w:ascii="Times New Roman" w:hAnsi="Times New Roman" w:eastAsia="仿宋_GB2312" w:cs="Times New Roman"/>
                <w:kern w:val="0"/>
                <w:sz w:val="18"/>
                <w:szCs w:val="18"/>
                <w:lang w:val="en-US" w:eastAsia="zh-CN" w:bidi="ar"/>
              </w:rPr>
              <w:t>5</w:t>
            </w:r>
            <w:r>
              <w:rPr>
                <w:rFonts w:hint="eastAsia" w:ascii="仿宋_GB2312" w:hAnsi="宋体" w:eastAsia="仿宋_GB2312" w:cs="仿宋_GB2312"/>
                <w:kern w:val="0"/>
                <w:sz w:val="18"/>
                <w:szCs w:val="18"/>
                <w:lang w:val="en-US" w:eastAsia="zh-CN" w:bidi="ar"/>
              </w:rPr>
              <w:t>分。</w:t>
            </w:r>
          </w:p>
        </w:tc>
      </w:tr>
      <w:tr w14:paraId="3DB5D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tblCellSpacing w:w="0" w:type="dxa"/>
        </w:trPr>
        <w:tc>
          <w:tcPr>
            <w:tcW w:w="506" w:type="dxa"/>
            <w:vMerge w:val="continue"/>
            <w:shd w:val="clear" w:color="auto" w:fill="auto"/>
            <w:tcMar>
              <w:top w:w="0" w:type="dxa"/>
              <w:left w:w="108" w:type="dxa"/>
              <w:bottom w:w="0" w:type="dxa"/>
              <w:right w:w="108" w:type="dxa"/>
            </w:tcMar>
            <w:vAlign w:val="center"/>
          </w:tcPr>
          <w:p w14:paraId="4E3E3699">
            <w:pPr>
              <w:rPr>
                <w:rFonts w:hint="eastAsia" w:ascii="宋体"/>
                <w:sz w:val="24"/>
                <w:szCs w:val="24"/>
              </w:rPr>
            </w:pPr>
          </w:p>
        </w:tc>
        <w:tc>
          <w:tcPr>
            <w:tcW w:w="1183" w:type="dxa"/>
            <w:vMerge w:val="continue"/>
            <w:shd w:val="clear" w:color="auto" w:fill="auto"/>
            <w:tcMar>
              <w:top w:w="0" w:type="dxa"/>
              <w:left w:w="108" w:type="dxa"/>
              <w:bottom w:w="0" w:type="dxa"/>
              <w:right w:w="108" w:type="dxa"/>
            </w:tcMar>
            <w:vAlign w:val="center"/>
          </w:tcPr>
          <w:p w14:paraId="657A12F4">
            <w:pPr>
              <w:rPr>
                <w:rFonts w:hint="eastAsia" w:ascii="宋体"/>
                <w:sz w:val="24"/>
                <w:szCs w:val="24"/>
              </w:rPr>
            </w:pPr>
          </w:p>
        </w:tc>
        <w:tc>
          <w:tcPr>
            <w:tcW w:w="1408" w:type="dxa"/>
            <w:shd w:val="clear" w:color="auto" w:fill="auto"/>
            <w:tcMar>
              <w:top w:w="0" w:type="dxa"/>
              <w:left w:w="108" w:type="dxa"/>
              <w:bottom w:w="0" w:type="dxa"/>
              <w:right w:w="108" w:type="dxa"/>
            </w:tcMar>
            <w:vAlign w:val="center"/>
          </w:tcPr>
          <w:p w14:paraId="1484A466">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规章制度（</w:t>
            </w:r>
            <w:r>
              <w:rPr>
                <w:rFonts w:hint="default" w:ascii="Times New Roman" w:hAnsi="Times New Roman" w:eastAsia="仿宋_GB2312" w:cs="Times New Roman"/>
                <w:kern w:val="0"/>
                <w:sz w:val="18"/>
                <w:szCs w:val="18"/>
                <w:lang w:val="en-US" w:eastAsia="zh-CN" w:bidi="ar"/>
              </w:rPr>
              <w:t>10</w:t>
            </w:r>
            <w:r>
              <w:rPr>
                <w:rFonts w:hint="eastAsia" w:ascii="仿宋_GB2312" w:hAnsi="宋体" w:eastAsia="仿宋_GB2312" w:cs="仿宋_GB2312"/>
                <w:kern w:val="0"/>
                <w:sz w:val="18"/>
                <w:szCs w:val="18"/>
                <w:lang w:val="en-US" w:eastAsia="zh-CN" w:bidi="ar"/>
              </w:rPr>
              <w:t>）</w:t>
            </w:r>
          </w:p>
        </w:tc>
        <w:tc>
          <w:tcPr>
            <w:tcW w:w="1463" w:type="dxa"/>
            <w:shd w:val="clear" w:color="auto" w:fill="auto"/>
            <w:tcMar>
              <w:top w:w="0" w:type="dxa"/>
              <w:left w:w="108" w:type="dxa"/>
              <w:bottom w:w="0" w:type="dxa"/>
              <w:right w:w="108" w:type="dxa"/>
            </w:tcMar>
            <w:vAlign w:val="center"/>
          </w:tcPr>
          <w:p w14:paraId="53371C1C">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违反相关规章制度</w:t>
            </w:r>
          </w:p>
        </w:tc>
        <w:tc>
          <w:tcPr>
            <w:tcW w:w="5221" w:type="dxa"/>
            <w:shd w:val="clear" w:color="auto" w:fill="auto"/>
            <w:tcMar>
              <w:top w:w="0" w:type="dxa"/>
              <w:left w:w="108" w:type="dxa"/>
              <w:bottom w:w="0" w:type="dxa"/>
              <w:right w:w="108" w:type="dxa"/>
            </w:tcMar>
            <w:vAlign w:val="center"/>
          </w:tcPr>
          <w:p w14:paraId="5B8E9D69">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评定年度内，违反《汕头市知识产权</w:t>
            </w:r>
            <w:bookmarkStart w:id="0" w:name="_GoBack"/>
            <w:r>
              <w:rPr>
                <w:rFonts w:hint="eastAsia" w:ascii="仿宋_GB2312" w:hAnsi="宋体" w:eastAsia="仿宋_GB2312" w:cs="仿宋_GB2312"/>
                <w:kern w:val="0"/>
                <w:sz w:val="18"/>
                <w:szCs w:val="18"/>
                <w:lang w:val="en-US" w:eastAsia="zh-CN" w:bidi="ar"/>
              </w:rPr>
              <w:t>保护中心</w:t>
            </w:r>
            <w:bookmarkEnd w:id="0"/>
            <w:r>
              <w:rPr>
                <w:rFonts w:hint="eastAsia" w:ascii="仿宋_GB2312" w:hAnsi="宋体" w:eastAsia="仿宋_GB2312" w:cs="仿宋_GB2312"/>
                <w:kern w:val="0"/>
                <w:sz w:val="18"/>
                <w:szCs w:val="18"/>
                <w:lang w:val="en-US" w:eastAsia="zh-CN" w:bidi="ar"/>
              </w:rPr>
              <w:t>专利快速预审服务管理办法》的情况，以汕头保护中心函、通知及相关公开文件为准。</w:t>
            </w:r>
          </w:p>
        </w:tc>
        <w:tc>
          <w:tcPr>
            <w:tcW w:w="600" w:type="dxa"/>
            <w:shd w:val="clear" w:color="auto" w:fill="auto"/>
            <w:tcMar>
              <w:top w:w="0" w:type="dxa"/>
              <w:left w:w="108" w:type="dxa"/>
              <w:bottom w:w="0" w:type="dxa"/>
              <w:right w:w="108" w:type="dxa"/>
            </w:tcMar>
            <w:vAlign w:val="center"/>
          </w:tcPr>
          <w:p w14:paraId="25C21157">
            <w:pPr>
              <w:keepNext w:val="0"/>
              <w:keepLines w:val="0"/>
              <w:widowControl/>
              <w:suppressLineNumbers w:val="0"/>
              <w:jc w:val="left"/>
            </w:pPr>
            <w:r>
              <w:rPr>
                <w:rFonts w:hint="default" w:ascii="Times New Roman" w:hAnsi="Times New Roman" w:eastAsia="宋体" w:cs="Times New Roman"/>
                <w:kern w:val="0"/>
                <w:sz w:val="18"/>
                <w:szCs w:val="18"/>
                <w:lang w:val="en-US" w:eastAsia="zh-CN" w:bidi="ar"/>
              </w:rPr>
              <w:t>10</w:t>
            </w:r>
          </w:p>
        </w:tc>
        <w:tc>
          <w:tcPr>
            <w:tcW w:w="3792" w:type="dxa"/>
            <w:shd w:val="clear" w:color="auto" w:fill="auto"/>
            <w:tcMar>
              <w:top w:w="0" w:type="dxa"/>
              <w:left w:w="108" w:type="dxa"/>
              <w:bottom w:w="0" w:type="dxa"/>
              <w:right w:w="108" w:type="dxa"/>
            </w:tcMar>
            <w:vAlign w:val="center"/>
          </w:tcPr>
          <w:p w14:paraId="04F7F541">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被汕头保护中心予以提醒的，扣</w:t>
            </w:r>
            <w:r>
              <w:rPr>
                <w:rFonts w:hint="eastAsia" w:ascii="Times New Roman" w:hAnsi="Times New Roman" w:eastAsia="仿宋_GB2312" w:cs="Times New Roman"/>
                <w:kern w:val="0"/>
                <w:sz w:val="18"/>
                <w:szCs w:val="18"/>
                <w:lang w:val="en-US" w:eastAsia="zh-CN" w:bidi="ar"/>
              </w:rPr>
              <w:t>3</w:t>
            </w:r>
            <w:r>
              <w:rPr>
                <w:rFonts w:hint="eastAsia" w:ascii="仿宋_GB2312" w:hAnsi="宋体" w:eastAsia="仿宋_GB2312" w:cs="仿宋_GB2312"/>
                <w:kern w:val="0"/>
                <w:sz w:val="18"/>
                <w:szCs w:val="18"/>
                <w:lang w:val="en-US" w:eastAsia="zh-CN" w:bidi="ar"/>
              </w:rPr>
              <w:t>分；暂停预审服务六个月的，扣</w:t>
            </w:r>
            <w:r>
              <w:rPr>
                <w:rFonts w:hint="default" w:ascii="Times New Roman" w:hAnsi="Times New Roman" w:eastAsia="仿宋_GB2312" w:cs="Times New Roman"/>
                <w:kern w:val="0"/>
                <w:sz w:val="18"/>
                <w:szCs w:val="18"/>
                <w:lang w:val="en-US" w:eastAsia="zh-CN" w:bidi="ar"/>
              </w:rPr>
              <w:t>10</w:t>
            </w:r>
            <w:r>
              <w:rPr>
                <w:rFonts w:hint="eastAsia" w:ascii="仿宋_GB2312" w:hAnsi="宋体" w:eastAsia="仿宋_GB2312" w:cs="仿宋_GB2312"/>
                <w:kern w:val="0"/>
                <w:sz w:val="18"/>
                <w:szCs w:val="18"/>
                <w:lang w:val="en-US" w:eastAsia="zh-CN" w:bidi="ar"/>
              </w:rPr>
              <w:t>分。</w:t>
            </w:r>
          </w:p>
        </w:tc>
      </w:tr>
      <w:tr w14:paraId="66534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tblCellSpacing w:w="0" w:type="dxa"/>
        </w:trPr>
        <w:tc>
          <w:tcPr>
            <w:tcW w:w="506" w:type="dxa"/>
            <w:vMerge w:val="continue"/>
            <w:shd w:val="clear" w:color="auto" w:fill="auto"/>
            <w:tcMar>
              <w:top w:w="0" w:type="dxa"/>
              <w:left w:w="108" w:type="dxa"/>
              <w:bottom w:w="0" w:type="dxa"/>
              <w:right w:w="108" w:type="dxa"/>
            </w:tcMar>
            <w:vAlign w:val="center"/>
          </w:tcPr>
          <w:p w14:paraId="45F90D24">
            <w:pPr>
              <w:rPr>
                <w:rFonts w:hint="eastAsia" w:ascii="宋体"/>
                <w:sz w:val="24"/>
                <w:szCs w:val="24"/>
              </w:rPr>
            </w:pPr>
          </w:p>
        </w:tc>
        <w:tc>
          <w:tcPr>
            <w:tcW w:w="1183" w:type="dxa"/>
            <w:vMerge w:val="continue"/>
            <w:shd w:val="clear" w:color="auto" w:fill="auto"/>
            <w:tcMar>
              <w:top w:w="0" w:type="dxa"/>
              <w:left w:w="108" w:type="dxa"/>
              <w:bottom w:w="0" w:type="dxa"/>
              <w:right w:w="108" w:type="dxa"/>
            </w:tcMar>
            <w:vAlign w:val="center"/>
          </w:tcPr>
          <w:p w14:paraId="5A12FB8C">
            <w:pPr>
              <w:rPr>
                <w:rFonts w:hint="eastAsia" w:ascii="宋体"/>
                <w:sz w:val="24"/>
                <w:szCs w:val="24"/>
              </w:rPr>
            </w:pPr>
          </w:p>
        </w:tc>
        <w:tc>
          <w:tcPr>
            <w:tcW w:w="1408" w:type="dxa"/>
            <w:shd w:val="clear" w:color="auto" w:fill="auto"/>
            <w:tcMar>
              <w:top w:w="0" w:type="dxa"/>
              <w:left w:w="108" w:type="dxa"/>
              <w:bottom w:w="0" w:type="dxa"/>
              <w:right w:w="108" w:type="dxa"/>
            </w:tcMar>
            <w:vAlign w:val="center"/>
          </w:tcPr>
          <w:p w14:paraId="6B7B4B3F">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能力培育（</w:t>
            </w:r>
            <w:r>
              <w:rPr>
                <w:rFonts w:hint="default" w:ascii="Times New Roman" w:hAnsi="Times New Roman" w:eastAsia="仿宋_GB2312" w:cs="Times New Roman"/>
                <w:kern w:val="0"/>
                <w:sz w:val="18"/>
                <w:szCs w:val="18"/>
                <w:lang w:val="en-US" w:eastAsia="zh-CN" w:bidi="ar"/>
              </w:rPr>
              <w:t>6</w:t>
            </w:r>
            <w:r>
              <w:rPr>
                <w:rFonts w:hint="eastAsia" w:ascii="仿宋_GB2312" w:hAnsi="宋体" w:eastAsia="仿宋_GB2312" w:cs="仿宋_GB2312"/>
                <w:kern w:val="0"/>
                <w:sz w:val="18"/>
                <w:szCs w:val="18"/>
                <w:lang w:val="en-US" w:eastAsia="zh-CN" w:bidi="ar"/>
              </w:rPr>
              <w:t>）</w:t>
            </w:r>
          </w:p>
        </w:tc>
        <w:tc>
          <w:tcPr>
            <w:tcW w:w="1463" w:type="dxa"/>
            <w:shd w:val="clear" w:color="auto" w:fill="auto"/>
            <w:tcMar>
              <w:top w:w="0" w:type="dxa"/>
              <w:left w:w="108" w:type="dxa"/>
              <w:bottom w:w="0" w:type="dxa"/>
              <w:right w:w="108" w:type="dxa"/>
            </w:tcMar>
            <w:vAlign w:val="center"/>
          </w:tcPr>
          <w:p w14:paraId="5E6877C3">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能力提升活动参与情况</w:t>
            </w:r>
          </w:p>
        </w:tc>
        <w:tc>
          <w:tcPr>
            <w:tcW w:w="5221" w:type="dxa"/>
            <w:shd w:val="clear" w:color="auto" w:fill="auto"/>
            <w:tcMar>
              <w:top w:w="0" w:type="dxa"/>
              <w:left w:w="108" w:type="dxa"/>
              <w:bottom w:w="0" w:type="dxa"/>
              <w:right w:w="108" w:type="dxa"/>
            </w:tcMar>
            <w:vAlign w:val="center"/>
          </w:tcPr>
          <w:p w14:paraId="73A8EDD6">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评定年度内，不积极参加汕头保护中心组织的各项业务培训或研讨活动，以汕头保护中心统计为准。</w:t>
            </w:r>
          </w:p>
        </w:tc>
        <w:tc>
          <w:tcPr>
            <w:tcW w:w="600" w:type="dxa"/>
            <w:shd w:val="clear" w:color="auto" w:fill="auto"/>
            <w:tcMar>
              <w:top w:w="0" w:type="dxa"/>
              <w:left w:w="108" w:type="dxa"/>
              <w:bottom w:w="0" w:type="dxa"/>
              <w:right w:w="108" w:type="dxa"/>
            </w:tcMar>
            <w:vAlign w:val="center"/>
          </w:tcPr>
          <w:p w14:paraId="698C8730">
            <w:pPr>
              <w:keepNext w:val="0"/>
              <w:keepLines w:val="0"/>
              <w:widowControl/>
              <w:suppressLineNumbers w:val="0"/>
              <w:jc w:val="left"/>
            </w:pPr>
            <w:r>
              <w:rPr>
                <w:rFonts w:hint="default" w:ascii="Times New Roman" w:hAnsi="Times New Roman" w:eastAsia="宋体" w:cs="Times New Roman"/>
                <w:kern w:val="0"/>
                <w:sz w:val="18"/>
                <w:szCs w:val="18"/>
                <w:lang w:val="en-US" w:eastAsia="zh-CN" w:bidi="ar"/>
              </w:rPr>
              <w:t>6</w:t>
            </w:r>
          </w:p>
        </w:tc>
        <w:tc>
          <w:tcPr>
            <w:tcW w:w="3792" w:type="dxa"/>
            <w:shd w:val="clear" w:color="auto" w:fill="auto"/>
            <w:tcMar>
              <w:top w:w="0" w:type="dxa"/>
              <w:left w:w="108" w:type="dxa"/>
              <w:bottom w:w="0" w:type="dxa"/>
              <w:right w:w="108" w:type="dxa"/>
            </w:tcMar>
            <w:vAlign w:val="center"/>
          </w:tcPr>
          <w:p w14:paraId="377814EA">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业务培训或调查问卷，无正当理由，应参加未参加的，每次扣</w:t>
            </w:r>
            <w:r>
              <w:rPr>
                <w:rFonts w:hint="default" w:ascii="Times New Roman" w:hAnsi="Times New Roman" w:eastAsia="仿宋_GB2312" w:cs="Times New Roman"/>
                <w:kern w:val="0"/>
                <w:sz w:val="18"/>
                <w:szCs w:val="18"/>
                <w:lang w:val="en-US" w:eastAsia="zh-CN" w:bidi="ar"/>
              </w:rPr>
              <w:t>2</w:t>
            </w:r>
            <w:r>
              <w:rPr>
                <w:rFonts w:hint="eastAsia" w:ascii="仿宋_GB2312" w:hAnsi="宋体" w:eastAsia="仿宋_GB2312" w:cs="仿宋_GB2312"/>
                <w:kern w:val="0"/>
                <w:sz w:val="18"/>
                <w:szCs w:val="18"/>
                <w:lang w:val="en-US" w:eastAsia="zh-CN" w:bidi="ar"/>
              </w:rPr>
              <w:t>分。</w:t>
            </w:r>
          </w:p>
        </w:tc>
      </w:tr>
      <w:tr w14:paraId="54BF9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tblCellSpacing w:w="0" w:type="dxa"/>
        </w:trPr>
        <w:tc>
          <w:tcPr>
            <w:tcW w:w="506" w:type="dxa"/>
            <w:vMerge w:val="continue"/>
            <w:shd w:val="clear" w:color="auto" w:fill="auto"/>
            <w:tcMar>
              <w:top w:w="0" w:type="dxa"/>
              <w:left w:w="108" w:type="dxa"/>
              <w:bottom w:w="0" w:type="dxa"/>
              <w:right w:w="108" w:type="dxa"/>
            </w:tcMar>
            <w:vAlign w:val="center"/>
          </w:tcPr>
          <w:p w14:paraId="7FC7341A">
            <w:pPr>
              <w:rPr>
                <w:rFonts w:hint="eastAsia" w:ascii="宋体"/>
                <w:sz w:val="24"/>
                <w:szCs w:val="24"/>
              </w:rPr>
            </w:pPr>
          </w:p>
        </w:tc>
        <w:tc>
          <w:tcPr>
            <w:tcW w:w="1183" w:type="dxa"/>
            <w:vMerge w:val="continue"/>
            <w:shd w:val="clear" w:color="auto" w:fill="auto"/>
            <w:tcMar>
              <w:top w:w="0" w:type="dxa"/>
              <w:left w:w="108" w:type="dxa"/>
              <w:bottom w:w="0" w:type="dxa"/>
              <w:right w:w="108" w:type="dxa"/>
            </w:tcMar>
            <w:vAlign w:val="center"/>
          </w:tcPr>
          <w:p w14:paraId="3D8B12EB">
            <w:pPr>
              <w:rPr>
                <w:rFonts w:hint="eastAsia" w:ascii="宋体"/>
                <w:sz w:val="24"/>
                <w:szCs w:val="24"/>
              </w:rPr>
            </w:pPr>
          </w:p>
        </w:tc>
        <w:tc>
          <w:tcPr>
            <w:tcW w:w="1408" w:type="dxa"/>
            <w:shd w:val="clear" w:color="auto" w:fill="auto"/>
            <w:tcMar>
              <w:top w:w="0" w:type="dxa"/>
              <w:left w:w="108" w:type="dxa"/>
              <w:bottom w:w="0" w:type="dxa"/>
              <w:right w:w="108" w:type="dxa"/>
            </w:tcMar>
            <w:vAlign w:val="center"/>
          </w:tcPr>
          <w:p w14:paraId="2DEDDCCC">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其他需要扣分的情形（</w:t>
            </w:r>
            <w:r>
              <w:rPr>
                <w:rFonts w:hint="default" w:ascii="Times New Roman" w:hAnsi="Times New Roman" w:eastAsia="仿宋_GB2312" w:cs="Times New Roman"/>
                <w:kern w:val="0"/>
                <w:sz w:val="18"/>
                <w:szCs w:val="18"/>
                <w:lang w:val="en-US" w:eastAsia="zh-CN" w:bidi="ar"/>
              </w:rPr>
              <w:t>2</w:t>
            </w:r>
            <w:r>
              <w:rPr>
                <w:rFonts w:hint="eastAsia" w:ascii="仿宋_GB2312" w:hAnsi="宋体" w:eastAsia="仿宋_GB2312" w:cs="仿宋_GB2312"/>
                <w:kern w:val="0"/>
                <w:sz w:val="18"/>
                <w:szCs w:val="18"/>
                <w:lang w:val="en-US" w:eastAsia="zh-CN" w:bidi="ar"/>
              </w:rPr>
              <w:t>）</w:t>
            </w:r>
          </w:p>
        </w:tc>
        <w:tc>
          <w:tcPr>
            <w:tcW w:w="1463" w:type="dxa"/>
            <w:shd w:val="clear" w:color="auto" w:fill="auto"/>
            <w:tcMar>
              <w:top w:w="0" w:type="dxa"/>
              <w:left w:w="108" w:type="dxa"/>
              <w:bottom w:w="0" w:type="dxa"/>
              <w:right w:w="108" w:type="dxa"/>
            </w:tcMar>
            <w:vAlign w:val="center"/>
          </w:tcPr>
          <w:p w14:paraId="4A12CCEB">
            <w:pPr>
              <w:keepNext w:val="0"/>
              <w:keepLines w:val="0"/>
              <w:widowControl/>
              <w:suppressLineNumbers w:val="0"/>
              <w:jc w:val="left"/>
            </w:pPr>
          </w:p>
        </w:tc>
        <w:tc>
          <w:tcPr>
            <w:tcW w:w="5221" w:type="dxa"/>
            <w:shd w:val="clear" w:color="auto" w:fill="auto"/>
            <w:tcMar>
              <w:top w:w="0" w:type="dxa"/>
              <w:left w:w="108" w:type="dxa"/>
              <w:bottom w:w="0" w:type="dxa"/>
              <w:right w:w="108" w:type="dxa"/>
            </w:tcMar>
            <w:vAlign w:val="center"/>
          </w:tcPr>
          <w:p w14:paraId="15E8DF22">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评定年度内，其他需要减分的情况。</w:t>
            </w:r>
          </w:p>
        </w:tc>
        <w:tc>
          <w:tcPr>
            <w:tcW w:w="600" w:type="dxa"/>
            <w:shd w:val="clear" w:color="auto" w:fill="auto"/>
            <w:tcMar>
              <w:top w:w="0" w:type="dxa"/>
              <w:left w:w="108" w:type="dxa"/>
              <w:bottom w:w="0" w:type="dxa"/>
              <w:right w:w="108" w:type="dxa"/>
            </w:tcMar>
            <w:vAlign w:val="center"/>
          </w:tcPr>
          <w:p w14:paraId="4AF75301">
            <w:pPr>
              <w:keepNext w:val="0"/>
              <w:keepLines w:val="0"/>
              <w:widowControl/>
              <w:suppressLineNumbers w:val="0"/>
              <w:jc w:val="left"/>
            </w:pPr>
            <w:r>
              <w:rPr>
                <w:rFonts w:hint="default" w:ascii="Times New Roman" w:hAnsi="Times New Roman" w:eastAsia="宋体" w:cs="Times New Roman"/>
                <w:kern w:val="0"/>
                <w:sz w:val="18"/>
                <w:szCs w:val="18"/>
                <w:lang w:val="en-US" w:eastAsia="zh-CN" w:bidi="ar"/>
              </w:rPr>
              <w:t>2</w:t>
            </w:r>
          </w:p>
        </w:tc>
        <w:tc>
          <w:tcPr>
            <w:tcW w:w="3792" w:type="dxa"/>
            <w:shd w:val="clear" w:color="auto" w:fill="auto"/>
            <w:tcMar>
              <w:top w:w="0" w:type="dxa"/>
              <w:left w:w="108" w:type="dxa"/>
              <w:bottom w:w="0" w:type="dxa"/>
              <w:right w:w="108" w:type="dxa"/>
            </w:tcMar>
            <w:vAlign w:val="center"/>
          </w:tcPr>
          <w:p w14:paraId="413F025D">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根据实际情况，每次扣</w:t>
            </w:r>
            <w:r>
              <w:rPr>
                <w:rFonts w:hint="default" w:ascii="Times New Roman" w:hAnsi="Times New Roman" w:eastAsia="仿宋_GB2312" w:cs="Times New Roman"/>
                <w:kern w:val="0"/>
                <w:sz w:val="18"/>
                <w:szCs w:val="18"/>
                <w:lang w:val="en-US" w:eastAsia="zh-CN" w:bidi="ar"/>
              </w:rPr>
              <w:t>1-2</w:t>
            </w:r>
            <w:r>
              <w:rPr>
                <w:rFonts w:hint="eastAsia" w:ascii="仿宋_GB2312" w:hAnsi="宋体" w:eastAsia="仿宋_GB2312" w:cs="仿宋_GB2312"/>
                <w:kern w:val="0"/>
                <w:sz w:val="18"/>
                <w:szCs w:val="18"/>
                <w:lang w:val="en-US" w:eastAsia="zh-CN" w:bidi="ar"/>
              </w:rPr>
              <w:t>分。</w:t>
            </w:r>
          </w:p>
        </w:tc>
      </w:tr>
      <w:tr w14:paraId="3F9D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tblCellSpacing w:w="0" w:type="dxa"/>
        </w:trPr>
        <w:tc>
          <w:tcPr>
            <w:tcW w:w="14173" w:type="dxa"/>
            <w:gridSpan w:val="7"/>
            <w:shd w:val="clear" w:color="auto" w:fill="auto"/>
            <w:tcMar>
              <w:top w:w="0" w:type="dxa"/>
              <w:left w:w="108" w:type="dxa"/>
              <w:bottom w:w="0" w:type="dxa"/>
              <w:right w:w="108" w:type="dxa"/>
            </w:tcMar>
            <w:vAlign w:val="center"/>
          </w:tcPr>
          <w:p w14:paraId="3162DF50">
            <w:pPr>
              <w:keepNext w:val="0"/>
              <w:keepLines w:val="0"/>
              <w:widowControl/>
              <w:suppressLineNumbers w:val="0"/>
              <w:jc w:val="left"/>
            </w:pPr>
            <w:r>
              <w:rPr>
                <w:rFonts w:hint="eastAsia" w:ascii="仿宋_GB2312" w:hAnsi="宋体" w:eastAsia="仿宋_GB2312" w:cs="仿宋_GB2312"/>
                <w:kern w:val="0"/>
                <w:sz w:val="18"/>
                <w:szCs w:val="18"/>
                <w:lang w:val="en-US" w:eastAsia="zh-CN" w:bidi="ar"/>
              </w:rPr>
              <w:t>注：同一事项加、减分以最高分计，不重复计算。</w:t>
            </w:r>
          </w:p>
        </w:tc>
      </w:tr>
    </w:tbl>
    <w:p w14:paraId="6F709CBA"/>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0C1FFA"/>
    <w:multiLevelType w:val="singleLevel"/>
    <w:tmpl w:val="990C1FFA"/>
    <w:lvl w:ilvl="0" w:tentative="0">
      <w:start w:val="1"/>
      <w:numFmt w:val="chineseCounting"/>
      <w:suff w:val="nothing"/>
      <w:lvlText w:val="（%1）"/>
      <w:lvlJc w:val="left"/>
      <w:rPr>
        <w:rFonts w:hint="eastAsia"/>
      </w:rPr>
    </w:lvl>
  </w:abstractNum>
  <w:abstractNum w:abstractNumId="1">
    <w:nsid w:val="A74F7BD2"/>
    <w:multiLevelType w:val="multilevel"/>
    <w:tmpl w:val="A74F7BD2"/>
    <w:lvl w:ilvl="0" w:tentative="0">
      <w:start w:val="2"/>
      <w:numFmt w:val="chineseCounting"/>
      <w:suff w:val="space"/>
      <w:lvlText w:val="第%1章"/>
      <w:lvlJc w:val="left"/>
      <w:rPr>
        <w:rFonts w:hint="eastAsia"/>
      </w:rPr>
    </w:lvl>
    <w:lvl w:ilvl="1" w:tentative="0">
      <w:start w:val="1"/>
      <w:numFmt w:val="chineseCounting"/>
      <w:suff w:val="nothing"/>
      <w:lvlText w:val="%2、"/>
      <w:lvlJc w:val="left"/>
      <w:rPr>
        <w:rFonts w:hint="eastAsia"/>
      </w:rPr>
    </w:lvl>
    <w:lvl w:ilvl="2" w:tentative="0">
      <w:start w:val="1"/>
      <w:numFmt w:val="chineseCounting"/>
      <w:suff w:val="nothing"/>
      <w:lvlText w:val="（%3）"/>
      <w:lvlJc w:val="left"/>
      <w:rPr>
        <w:rFonts w:hint="eastAsia"/>
      </w:rPr>
    </w:lvl>
    <w:lvl w:ilvl="3" w:tentative="0">
      <w:start w:val="1"/>
      <w:numFmt w:val="decimal"/>
      <w:suff w:val="nothing"/>
      <w:lvlText w:val="%4．"/>
      <w:lvlJc w:val="left"/>
      <w:rPr>
        <w:rFonts w:hint="eastAsia"/>
      </w:rPr>
    </w:lvl>
    <w:lvl w:ilvl="4" w:tentative="0">
      <w:start w:val="1"/>
      <w:numFmt w:val="decimal"/>
      <w:suff w:val="nothing"/>
      <w:lvlText w:val="（%5）"/>
      <w:lvlJc w:val="left"/>
      <w:rPr>
        <w:rFonts w:hint="eastAsia"/>
      </w:rPr>
    </w:lvl>
    <w:lvl w:ilvl="5" w:tentative="0">
      <w:start w:val="1"/>
      <w:numFmt w:val="decimalEnclosedCircleChinese"/>
      <w:suff w:val="nothing"/>
      <w:lvlText w:val="%6"/>
      <w:lvlJc w:val="left"/>
      <w:rPr>
        <w:rFonts w:hint="eastAsia"/>
      </w:rPr>
    </w:lvl>
    <w:lvl w:ilvl="6" w:tentative="0">
      <w:start w:val="1"/>
      <w:numFmt w:val="decimal"/>
      <w:suff w:val="nothing"/>
      <w:lvlText w:val="%7）"/>
      <w:lvlJc w:val="left"/>
      <w:rPr>
        <w:rFonts w:hint="eastAsia"/>
      </w:rPr>
    </w:lvl>
    <w:lvl w:ilvl="7" w:tentative="0">
      <w:start w:val="1"/>
      <w:numFmt w:val="lowerLetter"/>
      <w:suff w:val="nothing"/>
      <w:lvlText w:val="%8．"/>
      <w:lvlJc w:val="left"/>
      <w:rPr>
        <w:rFonts w:hint="eastAsia"/>
      </w:rPr>
    </w:lvl>
    <w:lvl w:ilvl="8" w:tentative="0">
      <w:start w:val="1"/>
      <w:numFmt w:val="lowerLetter"/>
      <w:suff w:val="nothing"/>
      <w:lvlText w:val="%9）"/>
      <w:lvlJc w:val="left"/>
      <w:rPr>
        <w:rFonts w:hint="eastAsia"/>
      </w:rPr>
    </w:lvl>
  </w:abstractNum>
  <w:abstractNum w:abstractNumId="2">
    <w:nsid w:val="4523B9AD"/>
    <w:multiLevelType w:val="singleLevel"/>
    <w:tmpl w:val="4523B9AD"/>
    <w:lvl w:ilvl="0" w:tentative="0">
      <w:start w:val="1"/>
      <w:numFmt w:val="chineseCounting"/>
      <w:suff w:val="nothing"/>
      <w:lvlText w:val="（%1）"/>
      <w:lvlJc w:val="left"/>
      <w:rPr>
        <w:rFonts w:hint="eastAsia"/>
      </w:rPr>
    </w:lvl>
  </w:abstractNum>
  <w:abstractNum w:abstractNumId="3">
    <w:nsid w:val="4B036251"/>
    <w:multiLevelType w:val="singleLevel"/>
    <w:tmpl w:val="4B036251"/>
    <w:lvl w:ilvl="0" w:tentative="0">
      <w:start w:val="1"/>
      <w:numFmt w:val="chineseCounting"/>
      <w:suff w:val="nothing"/>
      <w:lvlText w:val="（%1）"/>
      <w:lvlJc w:val="left"/>
      <w:rPr>
        <w:rFonts w:hint="eastAsia"/>
      </w:rPr>
    </w:lvl>
  </w:abstractNum>
  <w:abstractNum w:abstractNumId="4">
    <w:nsid w:val="6E1943C7"/>
    <w:multiLevelType w:val="singleLevel"/>
    <w:tmpl w:val="6E1943C7"/>
    <w:lvl w:ilvl="0" w:tentative="0">
      <w:start w:val="1"/>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F71577"/>
    <w:rsid w:val="09C86D2A"/>
    <w:rsid w:val="169C3FE3"/>
    <w:rsid w:val="243A78A7"/>
    <w:rsid w:val="39C81CDB"/>
    <w:rsid w:val="4554239C"/>
    <w:rsid w:val="465810C1"/>
    <w:rsid w:val="505B0D57"/>
    <w:rsid w:val="51007BCF"/>
    <w:rsid w:val="63F33D35"/>
    <w:rsid w:val="72F715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2633</Words>
  <Characters>2655</Characters>
  <Lines>0</Lines>
  <Paragraphs>0</Paragraphs>
  <TotalTime>10</TotalTime>
  <ScaleCrop>false</ScaleCrop>
  <LinksUpToDate>false</LinksUpToDate>
  <CharactersWithSpaces>2677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2024-11-21T00:57:00Z</dcterms:created>
  <dc:creator>ME</dc:creator>
  <cp:lastModifiedBy>ME</cp:lastModifiedBy>
  <dcterms:modified xsi:type="dcterms:W3CDTF">2024-12-04T07:26:07Z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3D28B04EF6674345B79D2865229E82BB_11</vt:lpwstr>
  </property>
</Properties>
</file>